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16.07.2026 N 247</w:t>
              <w:br/>
              <w:t xml:space="preserve">"Об утверждении руководства по безопасности "Рекомендации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07.08.2026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16 июля 2026 г. N 247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РУКОВОДСТВА</w:t>
      </w:r>
    </w:p>
    <w:p>
      <w:pPr>
        <w:pStyle w:val="2"/>
        <w:jc w:val="center"/>
      </w:pPr>
      <w:r>
        <w:rPr>
          <w:sz w:val="24"/>
        </w:rPr>
        <w:t xml:space="preserve">ПО БЕЗОПАСНОСТИ "РЕКОМЕНДАЦИИ ПО ОФОРМЛЕНИЮ ТЕХНИЧЕСКОГО</w:t>
      </w:r>
    </w:p>
    <w:p>
      <w:pPr>
        <w:pStyle w:val="2"/>
        <w:jc w:val="center"/>
      </w:pPr>
      <w:r>
        <w:rPr>
          <w:sz w:val="24"/>
        </w:rPr>
        <w:t xml:space="preserve">ПАСПОРТА ВЗРЫВОБЕЗОПАСНОСТИ ВЗРЫВОПОЖАРООПАСНЫХ</w:t>
      </w:r>
    </w:p>
    <w:p>
      <w:pPr>
        <w:pStyle w:val="2"/>
        <w:jc w:val="center"/>
      </w:pPr>
      <w:r>
        <w:rPr>
          <w:sz w:val="24"/>
        </w:rPr>
        <w:t xml:space="preserve">ПРОИЗВОДСТВЕННЫХ ОБЪЕКТОВ ХРАНЕНИЯ И ПЕРЕРАБОТКИ</w:t>
      </w:r>
    </w:p>
    <w:p>
      <w:pPr>
        <w:pStyle w:val="2"/>
        <w:jc w:val="center"/>
      </w:pPr>
      <w:r>
        <w:rPr>
          <w:sz w:val="24"/>
        </w:rPr>
        <w:t xml:space="preserve">РАСТИТЕЛЬНОГО СЫРЬЯ"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5 статьи 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 и </w:t>
      </w:r>
      <w:hyperlink w:history="0" r:id="rId9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31" w:tooltip="РУКОВОДСТВО">
        <w:r>
          <w:rPr>
            <w:sz w:val="24"/>
            <w:color w:val="0000ff"/>
          </w:rPr>
          <w:t xml:space="preserve">руководство</w:t>
        </w:r>
      </w:hyperlink>
      <w:r>
        <w:rPr>
          <w:sz w:val="24"/>
        </w:rPr>
        <w:t xml:space="preserve"> по безопасности "Рекомендации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Ростехнадзора от 26.05.2021 N 190 &quot;Об утверждении руководства по безопасности &quot;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&quot;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от 26 мая 2021 г. N 190 "Об утверждении руководства по безопасности "Рекомендации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1 сентября 2026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РУКОВОДСТВО</w:t>
      </w:r>
    </w:p>
    <w:p>
      <w:pPr>
        <w:pStyle w:val="2"/>
        <w:jc w:val="center"/>
      </w:pPr>
      <w:r>
        <w:rPr>
          <w:sz w:val="24"/>
        </w:rPr>
        <w:t xml:space="preserve">ПО БЕЗОПАСНОСТИ "РЕКОМЕНДАЦИИ ПО ОФОРМЛЕНИЮ ТЕХНИЧЕСКОГО</w:t>
      </w:r>
    </w:p>
    <w:p>
      <w:pPr>
        <w:pStyle w:val="2"/>
        <w:jc w:val="center"/>
      </w:pPr>
      <w:r>
        <w:rPr>
          <w:sz w:val="24"/>
        </w:rPr>
        <w:t xml:space="preserve">ПАСПОРТА ВЗРЫВОБЕЗОПАСНОСТИ ВЗРЫВОПОЖАРООПАСНЫХ</w:t>
      </w:r>
    </w:p>
    <w:p>
      <w:pPr>
        <w:pStyle w:val="2"/>
        <w:jc w:val="center"/>
      </w:pPr>
      <w:r>
        <w:rPr>
          <w:sz w:val="24"/>
        </w:rPr>
        <w:t xml:space="preserve">ПРОИЗВОДСТВЕННЫХ ОБЪЕКТОВ ХРАНЕНИЯ И ПЕРЕРАБОТКИ</w:t>
      </w:r>
    </w:p>
    <w:p>
      <w:pPr>
        <w:pStyle w:val="2"/>
        <w:jc w:val="center"/>
      </w:pPr>
      <w:r>
        <w:rPr>
          <w:sz w:val="24"/>
        </w:rPr>
        <w:t xml:space="preserve">РАСТИТЕЛЬНОГО СЫРЬЯ"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Руководство по безопасности "Рекомендации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сырья" (далее - Руководство) разработано в целях содействия соблюдению положений Федерального </w:t>
      </w:r>
      <w:hyperlink w:history="0" r:id="rId1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 июля 1997 г. N 116-ФЗ "О промышленной безопасности опасных производственных объектов", федеральных </w:t>
      </w:r>
      <w:hyperlink w:history="0" r:id="rId12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норм и правил</w:t>
        </w:r>
      </w:hyperlink>
      <w:r>
        <w:rPr>
          <w:sz w:val="24"/>
        </w:rPr>
        <w:t xml:space="preserve"> в области промышленной безопасности "Правила безопасности взрывопожароопасных производственных объектов хранения и переработки растительного сырья", утвержденных приказом Федеральной службы по экологическому, технологическому и атомному надзору от 23 апреля 2026 г. N 137 (далее - Федеральные нормы и правила).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Руководство не является нормативным правовым актом и содержит рекомендации по оформлению технического паспорта взрывобезопасности (далее - паспорт) опасных производственных объектов, на которых осуществляется хранение и (или) переработка растительного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осуществляется хранение зерна, продуктов его переработки и комбикормового сырья, склонных к самосогреванию и самовозгоранию (далее - объекты).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целях обеспечения объективности при разработке паспортов объектов и системного подхода к обобщению в указанных целях фактических данных о наличии и техническом состоянии средств взрывопредупреждения и взрывозащиты производственных зданий, сооружений и оборудования объектов (показателей, характеризующих состояние взрывобезопасносной и противоаварийной защиты объектов), подлежащих отражению в паспорте в соответствии с </w:t>
      </w:r>
      <w:hyperlink w:history="0" r:id="rId13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пунктом 751</w:t>
        </w:r>
      </w:hyperlink>
      <w:r>
        <w:rPr>
          <w:sz w:val="24"/>
        </w:rPr>
        <w:t xml:space="preserve"> Федеральных норм и правил, оформление паспорта рекомендуется осуществлять посредством заполнения </w:t>
      </w:r>
      <w:hyperlink w:history="0" w:anchor="P238" w:tooltip="Показатели,">
        <w:r>
          <w:rPr>
            <w:sz w:val="24"/>
            <w:color w:val="0000ff"/>
          </w:rPr>
          <w:t xml:space="preserve">таблиц N 1</w:t>
        </w:r>
      </w:hyperlink>
      <w:r>
        <w:rPr>
          <w:sz w:val="24"/>
        </w:rPr>
        <w:t xml:space="preserve"> - </w:t>
      </w:r>
      <w:hyperlink w:history="0" w:anchor="P1166" w:tooltip="Лист регистрации дополнений (изменений) технического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, образцы которых приведены в приложениях N 1 - 19 к Руководству.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целях обеспечения объективности паспорта рекомендуется заполнять все графы таблиц.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Для выполнения требований промышленной безопасности в части оформления паспорта могут использоваться иные формы, чем те, которые указаны в Руководстве.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Оформление (заполнение таблиц) паспорта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Для отражения оснащенности производственных зданий и сооружений легкосбрасываемыми конструкциями (далее - ЛСК) рекомендуется заполнять </w:t>
      </w:r>
      <w:hyperlink w:history="0" w:anchor="P238" w:tooltip="Показатели,">
        <w:r>
          <w:rPr>
            <w:sz w:val="24"/>
            <w:color w:val="0000ff"/>
          </w:rPr>
          <w:t xml:space="preserve">таблицу N 1</w:t>
        </w:r>
      </w:hyperlink>
      <w:r>
        <w:rPr>
          <w:sz w:val="24"/>
        </w:rPr>
        <w:t xml:space="preserve">, приведенную в приложении N 1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56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1 вносятся наименования помещений, зданий и сооружений в пределах одного объекта с учетом требований, установленных </w:t>
      </w:r>
      <w:hyperlink w:history="0" r:id="rId14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пунктами 30</w:t>
        </w:r>
      </w:hyperlink>
      <w:r>
        <w:rPr>
          <w:sz w:val="24"/>
        </w:rPr>
        <w:t xml:space="preserve"> и </w:t>
      </w:r>
      <w:hyperlink w:history="0" r:id="rId15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755</w:t>
        </w:r>
      </w:hyperlink>
      <w:r>
        <w:rPr>
          <w:sz w:val="24"/>
        </w:rPr>
        <w:t xml:space="preserve"> Федеральных норм и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57" w:tooltip="3">
        <w:r>
          <w:rPr>
            <w:sz w:val="24"/>
            <w:color w:val="0000ff"/>
          </w:rPr>
          <w:t xml:space="preserve">графу 3</w:t>
        </w:r>
      </w:hyperlink>
      <w:r>
        <w:rPr>
          <w:sz w:val="24"/>
        </w:rPr>
        <w:t xml:space="preserve"> таблицы N 1 вносятся величины свободных объемов помещений V, которые определяют по внутренним габаритным размерам. Свободный объем помещения V определяют вычитанием из геометрического объема помещения объемов выступающих строительных конструкций и производственного оборудования;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58" w:tooltip="4">
        <w:r>
          <w:rPr>
            <w:sz w:val="24"/>
            <w:color w:val="0000ff"/>
          </w:rPr>
          <w:t xml:space="preserve">графу 4</w:t>
        </w:r>
      </w:hyperlink>
      <w:r>
        <w:rPr>
          <w:sz w:val="24"/>
        </w:rPr>
        <w:t xml:space="preserve"> таблицы N 1 вносятся величины минимально допустимых площадей ЛСК F</w:t>
      </w:r>
      <w:r>
        <w:rPr>
          <w:sz w:val="24"/>
          <w:vertAlign w:val="subscript"/>
        </w:rPr>
        <w:t xml:space="preserve">доп</w:t>
      </w:r>
      <w:r>
        <w:rPr>
          <w:sz w:val="24"/>
        </w:rPr>
        <w:t xml:space="preserve">, определяемых по расчетным методикам или по формуле: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46"/>
        <w:gridCol w:w="2324"/>
      </w:tblGrid>
      <w:tr>
        <w:tc>
          <w:tcPr>
            <w:tcW w:w="674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position w:val="-10"/>
              </w:rPr>
              <w:drawing>
                <wp:inline distT="0" distB="0" distL="0" distR="0">
                  <wp:extent cx="114300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[1]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K</w:t>
      </w:r>
      <w:r>
        <w:rPr>
          <w:sz w:val="24"/>
          <w:vertAlign w:val="subscript"/>
        </w:rPr>
        <w:t xml:space="preserve">сбр</w:t>
      </w:r>
      <w:r>
        <w:rPr>
          <w:sz w:val="24"/>
        </w:rPr>
        <w:t xml:space="preserve"> - коэффициент сброса, принимаемый для производственных помещений категории Б &lt;1&gt; по пожарной и взрывопожарной опасности и лестничных клеток с выходом через тамбур-шлюз 0,03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/м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7" w:tooltip="Федеральный закон от 22.07.2008 N 123-ФЗ (ред. от 31.07.2025) &quot;Технический регламент о требованиях пожарной безопасности&quot; ------------ Недействующая редакция {КонсультантПлюс}">
        <w:r>
          <w:rPr>
            <w:sz w:val="24"/>
            <w:color w:val="0000ff"/>
          </w:rPr>
          <w:t xml:space="preserve">Статья 27</w:t>
        </w:r>
      </w:hyperlink>
      <w:r>
        <w:rPr>
          <w:sz w:val="24"/>
        </w:rPr>
        <w:t xml:space="preserve"> Федерального закона от 22 июля 2008 г. N 123-ФЗ "Технический регламент о требованиях пожарной безопасности".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V - свободный объем помещения,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вычисление величин свободных объемов помещений V рекомендуется производить с точностью до 1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59" w:tooltip="5">
        <w:r>
          <w:rPr>
            <w:sz w:val="24"/>
            <w:color w:val="0000ff"/>
          </w:rPr>
          <w:t xml:space="preserve">графу 5</w:t>
        </w:r>
      </w:hyperlink>
      <w:r>
        <w:rPr>
          <w:sz w:val="24"/>
        </w:rPr>
        <w:t xml:space="preserve"> таблицы N 1 вносятся величины фактических площадей ЛСК F</w:t>
      </w:r>
      <w:r>
        <w:rPr>
          <w:sz w:val="24"/>
          <w:vertAlign w:val="subscript"/>
        </w:rPr>
        <w:t xml:space="preserve">ф</w:t>
      </w:r>
      <w:r>
        <w:rPr>
          <w:sz w:val="24"/>
        </w:rPr>
        <w:t xml:space="preserve"> расположенных в наружных стенах или покрытиях помещений (с учетом открытых проемов);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60" w:tooltip="6">
        <w:r>
          <w:rPr>
            <w:sz w:val="24"/>
            <w:color w:val="0000ff"/>
          </w:rPr>
          <w:t xml:space="preserve">графу 6</w:t>
        </w:r>
      </w:hyperlink>
      <w:r>
        <w:rPr>
          <w:sz w:val="24"/>
        </w:rPr>
        <w:t xml:space="preserve"> таблицы N 1 вносится величина коэффициента (относительного) обеспеченности ЛСК K, определяемая по формуле: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46"/>
        <w:gridCol w:w="2324"/>
      </w:tblGrid>
      <w:tr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position w:val="-10"/>
              </w:rPr>
              <w:drawing>
                <wp:inline distT="0" distB="0" distL="0" distR="0">
                  <wp:extent cx="15887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bookmarkStart w:id="66" w:name="P66"/>
          <w:bookmarkEnd w:id="66"/>
          <w:p>
            <w:pPr>
              <w:pStyle w:val="0"/>
              <w:jc w:val="right"/>
            </w:pPr>
            <w:r>
              <w:rPr>
                <w:sz w:val="24"/>
              </w:rPr>
              <w:t xml:space="preserve">[2]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K</w:t>
      </w:r>
      <w:r>
        <w:rPr>
          <w:sz w:val="24"/>
          <w:vertAlign w:val="subscript"/>
        </w:rPr>
        <w:t xml:space="preserve">ф</w:t>
      </w:r>
      <w:r>
        <w:rPr>
          <w:sz w:val="24"/>
        </w:rPr>
        <w:t xml:space="preserve"> - величина фактической площади ЛСК, указанная в </w:t>
      </w:r>
      <w:hyperlink w:history="0" w:anchor="P259" w:tooltip="5">
        <w:r>
          <w:rPr>
            <w:sz w:val="24"/>
            <w:color w:val="0000ff"/>
          </w:rPr>
          <w:t xml:space="preserve">графе 5</w:t>
        </w:r>
      </w:hyperlink>
      <w:r>
        <w:rPr>
          <w:sz w:val="24"/>
        </w:rPr>
        <w:t xml:space="preserve"> таблицы N 1,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F</w:t>
      </w:r>
      <w:r>
        <w:rPr>
          <w:sz w:val="24"/>
          <w:vertAlign w:val="subscript"/>
        </w:rPr>
        <w:t xml:space="preserve">доп</w:t>
      </w:r>
      <w:r>
        <w:rPr>
          <w:sz w:val="24"/>
        </w:rPr>
        <w:t xml:space="preserve"> - величина минимально допустимой площади ЛСК, указанная в </w:t>
      </w:r>
      <w:hyperlink w:history="0" w:anchor="P258" w:tooltip="4">
        <w:r>
          <w:rPr>
            <w:sz w:val="24"/>
            <w:color w:val="0000ff"/>
          </w:rPr>
          <w:t xml:space="preserve">графе 4</w:t>
        </w:r>
      </w:hyperlink>
      <w:r>
        <w:rPr>
          <w:sz w:val="24"/>
        </w:rPr>
        <w:t xml:space="preserve"> таблицы N 1,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вычисление величин минимально допустимых F</w:t>
      </w:r>
      <w:r>
        <w:rPr>
          <w:sz w:val="24"/>
          <w:vertAlign w:val="subscript"/>
        </w:rPr>
        <w:t xml:space="preserve">доп</w:t>
      </w:r>
      <w:r>
        <w:rPr>
          <w:sz w:val="24"/>
        </w:rPr>
        <w:t xml:space="preserve"> и фактических F</w:t>
      </w:r>
      <w:r>
        <w:rPr>
          <w:sz w:val="24"/>
          <w:vertAlign w:val="subscript"/>
        </w:rPr>
        <w:t xml:space="preserve">ф</w:t>
      </w:r>
      <w:r>
        <w:rPr>
          <w:sz w:val="24"/>
        </w:rPr>
        <w:t xml:space="preserve"> площадей ЛСК рекомендуется производить с точностью до 1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61" w:tooltip="7">
        <w:r>
          <w:rPr>
            <w:sz w:val="24"/>
            <w:color w:val="0000ff"/>
          </w:rPr>
          <w:t xml:space="preserve">графу 7</w:t>
        </w:r>
      </w:hyperlink>
      <w:r>
        <w:rPr>
          <w:sz w:val="24"/>
        </w:rPr>
        <w:t xml:space="preserve"> таблицы N 1 вносится количество проемов в противопожарных стенах и перегородках, отделяющих помещения категорий Б по пожарной и взрывопожарной опасности от помещений других категорий, коридоров и лестничных клеток, не оборудованных тамбур-шлюзами;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62" w:tooltip="8">
        <w:r>
          <w:rPr>
            <w:sz w:val="24"/>
            <w:color w:val="0000ff"/>
          </w:rPr>
          <w:t xml:space="preserve">графу 8</w:t>
        </w:r>
      </w:hyperlink>
      <w:r>
        <w:rPr>
          <w:sz w:val="24"/>
        </w:rPr>
        <w:t xml:space="preserve"> таблицы N 1 вносятся сведения о размещении бытовых помещений в производственных зданиях;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63" w:tooltip="9">
        <w:r>
          <w:rPr>
            <w:sz w:val="24"/>
            <w:color w:val="0000ff"/>
          </w:rPr>
          <w:t xml:space="preserve">графе 9</w:t>
        </w:r>
      </w:hyperlink>
      <w:r>
        <w:rPr>
          <w:sz w:val="24"/>
        </w:rPr>
        <w:t xml:space="preserve"> таблицы N 1 фиксируются места размещения непосредственно в производственных зданиях бункеров для хранения аспирационных относов, пыли и пылевидных отходов;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264" w:tooltip="10">
        <w:r>
          <w:rPr>
            <w:sz w:val="24"/>
            <w:color w:val="0000ff"/>
          </w:rPr>
          <w:t xml:space="preserve">графе 10</w:t>
        </w:r>
      </w:hyperlink>
      <w:r>
        <w:rPr>
          <w:sz w:val="24"/>
        </w:rPr>
        <w:t xml:space="preserve"> "Примечание" таблицы N 1 рекомендуется отражать имеющиеся недоработки (например, наличие незаделанных монтажных проемов, отверстий в стенах и перекрытиях, отсутствие второго эвакуационного выхода).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Для отражения оснащенности транспортных галерей и тоннелей ИСК рекомендуется заполнять </w:t>
      </w:r>
      <w:hyperlink w:history="0" w:anchor="P296" w:tooltip="Транспортные галереи и тоннели">
        <w:r>
          <w:rPr>
            <w:sz w:val="24"/>
            <w:color w:val="0000ff"/>
          </w:rPr>
          <w:t xml:space="preserve">таблицу N 2</w:t>
        </w:r>
      </w:hyperlink>
      <w:r>
        <w:rPr>
          <w:sz w:val="24"/>
        </w:rPr>
        <w:t xml:space="preserve">, приведенную в приложении N 2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09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2 вносятся наименования сооружений и зданий, связываемых галереями или тоннелями;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10" w:tooltip="3">
        <w:r>
          <w:rPr>
            <w:sz w:val="24"/>
            <w:color w:val="0000ff"/>
          </w:rPr>
          <w:t xml:space="preserve">графу 3</w:t>
        </w:r>
      </w:hyperlink>
      <w:r>
        <w:rPr>
          <w:sz w:val="24"/>
        </w:rPr>
        <w:t xml:space="preserve"> таблицы N 2 вносятся величины длин галерей или тоннелей, 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11" w:tooltip="4">
        <w:r>
          <w:rPr>
            <w:sz w:val="24"/>
            <w:color w:val="0000ff"/>
          </w:rPr>
          <w:t xml:space="preserve">графу 4</w:t>
        </w:r>
      </w:hyperlink>
      <w:r>
        <w:rPr>
          <w:sz w:val="24"/>
        </w:rPr>
        <w:t xml:space="preserve"> таблицы N 2 вносятся величины объемов помещений галерей или тоннелей,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12" w:tooltip="5">
        <w:r>
          <w:rPr>
            <w:sz w:val="24"/>
            <w:color w:val="0000ff"/>
          </w:rPr>
          <w:t xml:space="preserve">графу 5</w:t>
        </w:r>
      </w:hyperlink>
      <w:r>
        <w:rPr>
          <w:sz w:val="24"/>
        </w:rPr>
        <w:t xml:space="preserve"> таблицы N 2 вносятся минимально допустимые значения площадей ЛСК тоннелей (оборудованных участком, выступающим над землей, с открытыми проемами или ограждением из ЛСК площадью не менее 0,06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 на 1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 объема тоннеля &lt;2&gt;);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"</w:t>
      </w:r>
      <w:hyperlink w:history="0" r:id="rId19" w:tooltip="Ссылка на КонсультантПлюс">
        <w:r>
          <w:rPr>
            <w:sz w:val="24"/>
            <w:color w:val="0000ff"/>
          </w:rPr>
          <w:t xml:space="preserve">СП 108.13330.2012</w:t>
        </w:r>
      </w:hyperlink>
      <w:r>
        <w:rPr>
          <w:sz w:val="24"/>
        </w:rPr>
        <w:t xml:space="preserve">, Свод правил. Предприятия, здания и сооружения по хранению и переработке зерна. Актуализированная редакция СНиП 2.10.05-85", утвержденный </w:t>
      </w:r>
      <w:hyperlink w:history="0" r:id="rId20" w:tooltip="Ссылка на КонсультантПлюс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Минрегиона России от 29.12.2011 N 635/3.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</w:t>
      </w:r>
      <w:hyperlink w:history="0" w:anchor="P313" w:tooltip="6">
        <w:r>
          <w:rPr>
            <w:sz w:val="24"/>
            <w:color w:val="0000ff"/>
          </w:rPr>
          <w:t xml:space="preserve">графу 6</w:t>
        </w:r>
      </w:hyperlink>
      <w:r>
        <w:rPr>
          <w:sz w:val="24"/>
        </w:rPr>
        <w:t xml:space="preserve"> таблицы N 2 вносятся величины фактических площадей ЛСК галерей или тоннелей,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конструкции стен или кровли галереи изготовлены из металлических листов (оцинкованных, окрашенных), асбоцементных листов, шифера и (или) других материалов, которые с учетом метода (типа) крепления, обеспечивающего вскрытие или разрушение указанных материалов при избыточном давлении внутри помещения не более 2 кПа (200 кгс/м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), относятся к ЛСК, то в </w:t>
      </w:r>
      <w:hyperlink w:history="0" w:anchor="P313" w:tooltip="6">
        <w:r>
          <w:rPr>
            <w:sz w:val="24"/>
            <w:color w:val="0000ff"/>
          </w:rPr>
          <w:t xml:space="preserve">графу 6</w:t>
        </w:r>
      </w:hyperlink>
      <w:r>
        <w:rPr>
          <w:sz w:val="24"/>
        </w:rPr>
        <w:t xml:space="preserve"> таблицы N 2 вносится соответствующая запись.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рекомендуется приводить в </w:t>
      </w:r>
      <w:hyperlink w:history="0" w:anchor="P315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2 описание метода (типа) крепления;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площади ЛСК галерей указываются в </w:t>
      </w:r>
      <w:hyperlink w:history="0" w:anchor="P312" w:tooltip="5">
        <w:r>
          <w:rPr>
            <w:sz w:val="24"/>
            <w:color w:val="0000ff"/>
          </w:rPr>
          <w:t xml:space="preserve">графах 5</w:t>
        </w:r>
      </w:hyperlink>
      <w:r>
        <w:rPr>
          <w:sz w:val="24"/>
        </w:rPr>
        <w:t xml:space="preserve"> и </w:t>
      </w:r>
      <w:hyperlink w:history="0" w:anchor="P313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таблицы N 2 только в случае, если их ограждающие конструкции не легкосбрасываемые, а в качестве ЛСК используется оконное остекление;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14" w:tooltip="7">
        <w:r>
          <w:rPr>
            <w:sz w:val="24"/>
            <w:color w:val="0000ff"/>
          </w:rPr>
          <w:t xml:space="preserve">графу 7</w:t>
        </w:r>
      </w:hyperlink>
      <w:r>
        <w:rPr>
          <w:sz w:val="24"/>
        </w:rPr>
        <w:t xml:space="preserve"> таблицы N 2 вносится величина коэффициента (относительного) обеспеченности ЛСК К, определяемая по формуле </w:t>
      </w:r>
      <w:hyperlink w:history="0" w:anchor="P66" w:tooltip="[2]">
        <w:r>
          <w:rPr>
            <w:sz w:val="24"/>
            <w:color w:val="0000ff"/>
          </w:rPr>
          <w:t xml:space="preserve">[2]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вычисление величин минимально допустимых F</w:t>
      </w:r>
      <w:r>
        <w:rPr>
          <w:sz w:val="24"/>
          <w:vertAlign w:val="subscript"/>
        </w:rPr>
        <w:t xml:space="preserve">доп</w:t>
      </w:r>
      <w:r>
        <w:rPr>
          <w:sz w:val="24"/>
        </w:rPr>
        <w:t xml:space="preserve"> и фактических площадей ЛСК рекомендуется производить с точностью до 1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Для отражения оснащенности средствами взрывопредупреждения и взрывозащиты норий рекомендуется заполнять </w:t>
      </w:r>
      <w:hyperlink w:history="0" w:anchor="P345" w:tooltip="Нории">
        <w:r>
          <w:rPr>
            <w:sz w:val="24"/>
            <w:color w:val="0000ff"/>
          </w:rPr>
          <w:t xml:space="preserve">таблицу N 3</w:t>
        </w:r>
      </w:hyperlink>
      <w:r>
        <w:rPr>
          <w:sz w:val="24"/>
        </w:rPr>
        <w:t xml:space="preserve">, приведенную в приложении N 3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62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3 вносятся наименования помещений, тип нории и ее номер по технологической схеме, высота (м);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63" w:tooltip="3">
        <w:r>
          <w:rPr>
            <w:sz w:val="24"/>
            <w:color w:val="0000ff"/>
          </w:rPr>
          <w:t xml:space="preserve">графу 3</w:t>
        </w:r>
      </w:hyperlink>
      <w:r>
        <w:rPr>
          <w:sz w:val="24"/>
        </w:rPr>
        <w:t xml:space="preserve"> таблицы N 3 вносятся сведения о бункерах, силосах и шахтах (с указанием номеров по технологической схеме), внутри которых проходят норийные трубы норий;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64" w:tooltip="4">
        <w:r>
          <w:rPr>
            <w:sz w:val="24"/>
            <w:color w:val="0000ff"/>
          </w:rPr>
          <w:t xml:space="preserve">графу 4</w:t>
        </w:r>
      </w:hyperlink>
      <w:r>
        <w:rPr>
          <w:sz w:val="24"/>
        </w:rPr>
        <w:t xml:space="preserve"> таблицы N 3 вносятся сведения о защите норийных труб (кроме норий минерального сырья), проходящих внутри бункеров, силосов и шахт, обоснованные расчетными данными усиления норийных труб с учетом внутреннего остаточного давления пылевоздушного взрыва и внешнего давления сыпучего продукта в бункерах и силосах.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отсутствии расчетных данных приводятся сведения о наличии металлических норийных труб круглого сечения с толщиной стенки не менее 2 мм на участках, проходящих внутри шахт, бункеров, силосов;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65" w:tooltip="5">
        <w:r>
          <w:rPr>
            <w:sz w:val="24"/>
            <w:color w:val="0000ff"/>
          </w:rPr>
          <w:t xml:space="preserve">графе 5</w:t>
        </w:r>
      </w:hyperlink>
      <w:r>
        <w:rPr>
          <w:sz w:val="24"/>
        </w:rPr>
        <w:t xml:space="preserve"> таблицы N 3 количество взрыворазрядителей на нории указывается простым перечислением;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66" w:tooltip="6">
        <w:r>
          <w:rPr>
            <w:sz w:val="24"/>
            <w:color w:val="0000ff"/>
          </w:rPr>
          <w:t xml:space="preserve">графу 6</w:t>
        </w:r>
      </w:hyperlink>
      <w:r>
        <w:rPr>
          <w:sz w:val="24"/>
        </w:rPr>
        <w:t xml:space="preserve"> таблицы N 3 вносятся сведения о местах установки взрыворазрядителей с учетом требований </w:t>
      </w:r>
      <w:hyperlink w:history="0" r:id="rId21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пунктов 725</w:t>
        </w:r>
      </w:hyperlink>
      <w:r>
        <w:rPr>
          <w:sz w:val="24"/>
        </w:rPr>
        <w:t xml:space="preserve">, </w:t>
      </w:r>
      <w:hyperlink w:history="0" r:id="rId22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726</w:t>
        </w:r>
      </w:hyperlink>
      <w:r>
        <w:rPr>
          <w:sz w:val="24"/>
        </w:rPr>
        <w:t xml:space="preserve"> и </w:t>
      </w:r>
      <w:hyperlink w:history="0" r:id="rId23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729</w:t>
        </w:r>
      </w:hyperlink>
      <w:r>
        <w:rPr>
          <w:sz w:val="24"/>
        </w:rPr>
        <w:t xml:space="preserve"> Федеральных норм и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применения норий со свободным объемом менее 0,25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, на которых допускается не устанавливать взрыворазрядители;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71" w:tooltip="11">
        <w:r>
          <w:rPr>
            <w:sz w:val="24"/>
            <w:color w:val="0000ff"/>
          </w:rPr>
          <w:t xml:space="preserve">графе 11</w:t>
        </w:r>
      </w:hyperlink>
      <w:r>
        <w:rPr>
          <w:sz w:val="24"/>
        </w:rPr>
        <w:t xml:space="preserve"> "Примечание" таблицы N 3 делается соответствующая отметка с указанием свободного объема таких норий;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67" w:tooltip="7">
        <w:r>
          <w:rPr>
            <w:sz w:val="24"/>
            <w:color w:val="0000ff"/>
          </w:rPr>
          <w:t xml:space="preserve">графы 7</w:t>
        </w:r>
      </w:hyperlink>
      <w:r>
        <w:rPr>
          <w:sz w:val="24"/>
        </w:rPr>
        <w:t xml:space="preserve">, </w:t>
      </w:r>
      <w:hyperlink w:history="0" w:anchor="P368" w:tooltip="8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 и </w:t>
      </w:r>
      <w:hyperlink w:history="0" w:anchor="P369" w:tooltip="9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таблицы N 3 вносятся данные об оснащенности норий средствами взрывопредупреждения с указанием сведений об их типе (виде), об организации-изготовителе;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370" w:tooltip="10">
        <w:r>
          <w:rPr>
            <w:sz w:val="24"/>
            <w:color w:val="0000ff"/>
          </w:rPr>
          <w:t xml:space="preserve">графе 10</w:t>
        </w:r>
      </w:hyperlink>
      <w:r>
        <w:rPr>
          <w:sz w:val="24"/>
        </w:rPr>
        <w:t xml:space="preserve"> таблицы N 3 данные о наличии автоматически действующих тормозных устройств отображаются в виде отметки "В наличии" или "Отсутствуют";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неподключение и (или) неисправность реле контроля скорости (далее - РКС), датчиков подпора, устройств контроля сбегания ленты, взрыворазрядителей и автоматически действующих тормозных устройств в </w:t>
      </w:r>
      <w:hyperlink w:history="0" w:anchor="P371" w:tooltip="11">
        <w:r>
          <w:rPr>
            <w:sz w:val="24"/>
            <w:color w:val="0000ff"/>
          </w:rPr>
          <w:t xml:space="preserve">графе 11</w:t>
        </w:r>
      </w:hyperlink>
      <w:r>
        <w:rPr>
          <w:sz w:val="24"/>
        </w:rPr>
        <w:t xml:space="preserve"> "Примечание" таблицы N 3 фиксируются как их отсутствие;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паспортов на взрыворазрядители фиксируются в </w:t>
      </w:r>
      <w:hyperlink w:history="0" w:anchor="P371" w:tooltip="11">
        <w:r>
          <w:rPr>
            <w:sz w:val="24"/>
            <w:color w:val="0000ff"/>
          </w:rPr>
          <w:t xml:space="preserve">графе 11</w:t>
        </w:r>
      </w:hyperlink>
      <w:r>
        <w:rPr>
          <w:sz w:val="24"/>
        </w:rPr>
        <w:t xml:space="preserve"> "Примечание" таблицы N 3 в виде соответствующей отметки с указанием количества;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аспирации норий, необеспеченность натяжения и регулировки хода норийной ленты, отсутствие целостности ковшей рекомендуется фиксировать в </w:t>
      </w:r>
      <w:hyperlink w:history="0" w:anchor="P371" w:tooltip="11">
        <w:r>
          <w:rPr>
            <w:sz w:val="24"/>
            <w:color w:val="0000ff"/>
          </w:rPr>
          <w:t xml:space="preserve">графе 11</w:t>
        </w:r>
      </w:hyperlink>
      <w:r>
        <w:rPr>
          <w:sz w:val="24"/>
        </w:rPr>
        <w:t xml:space="preserve"> "Примечание" таблицы N 3 в виде соответствующей отметки.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отражения оснащенности средствами взрывопредупреждения и взрывозащиты стационарных ленточных конвейеров рекомендуется заполнять </w:t>
      </w:r>
      <w:hyperlink w:history="0" w:anchor="P404" w:tooltip="Стационарные ленточные конвейеры">
        <w:r>
          <w:rPr>
            <w:sz w:val="24"/>
            <w:color w:val="0000ff"/>
          </w:rPr>
          <w:t xml:space="preserve">таблицу N 4</w:t>
        </w:r>
      </w:hyperlink>
      <w:r>
        <w:rPr>
          <w:sz w:val="24"/>
        </w:rPr>
        <w:t xml:space="preserve">, приведенную в приложении N 4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413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4 вносятся наименования зданий и сооружений, тип конвейера и его номер по технологической схеме;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414" w:tooltip="3">
        <w:r>
          <w:rPr>
            <w:sz w:val="24"/>
            <w:color w:val="0000ff"/>
          </w:rPr>
          <w:t xml:space="preserve">графу 3</w:t>
        </w:r>
      </w:hyperlink>
      <w:r>
        <w:rPr>
          <w:sz w:val="24"/>
        </w:rPr>
        <w:t xml:space="preserve"> таблицы N 4 вносятся данные об оснащенности конвейеров РКС с указанием сведений об их типе (виде), об организации-изготовителе;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неподключение и (или) неисправность РКС фиксируется в </w:t>
      </w:r>
      <w:hyperlink w:history="0" w:anchor="P417" w:tooltip="6">
        <w:r>
          <w:rPr>
            <w:sz w:val="24"/>
            <w:color w:val="0000ff"/>
          </w:rPr>
          <w:t xml:space="preserve">графе 6</w:t>
        </w:r>
      </w:hyperlink>
      <w:r>
        <w:rPr>
          <w:sz w:val="24"/>
        </w:rPr>
        <w:t xml:space="preserve"> "Примечание" таблицы N 4 как их отсутствие;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в </w:t>
      </w:r>
      <w:hyperlink w:history="0" w:anchor="P415" w:tooltip="4">
        <w:r>
          <w:rPr>
            <w:sz w:val="24"/>
            <w:color w:val="0000ff"/>
          </w:rPr>
          <w:t xml:space="preserve">графы 4</w:t>
        </w:r>
      </w:hyperlink>
      <w:r>
        <w:rPr>
          <w:sz w:val="24"/>
        </w:rPr>
        <w:t xml:space="preserve"> и </w:t>
      </w:r>
      <w:hyperlink w:history="0" w:anchor="P416" w:tooltip="5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таблицы N 4 отображаются в виде отметки "В наличии" или "Отсутствуют";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сбегание при работе ленточных конвейеров конвейерной ленты с барабанов и роликов, задевание конвейерной ленты об опорные конструкции, пробуксовку конвейерной ленты на барабанах, отсутствие на самоходных разгрузочных тележках ленточных конвейеров механизмов включения и выключения с быстродействующим тормозным приспособлением рекомендуется фиксировать в </w:t>
      </w:r>
      <w:hyperlink w:history="0" w:anchor="P417" w:tooltip="6">
        <w:r>
          <w:rPr>
            <w:sz w:val="24"/>
            <w:color w:val="0000ff"/>
          </w:rPr>
          <w:t xml:space="preserve">графе 6</w:t>
        </w:r>
      </w:hyperlink>
      <w:r>
        <w:rPr>
          <w:sz w:val="24"/>
        </w:rPr>
        <w:t xml:space="preserve"> "Примечание" таблицы N 4 в виде соответствующей отметки.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Для отражения оснащенности средствами взрывопредупреждения и взрывозащиты цепных скребковых и винтовых конвейеров рекомендуется заполнять </w:t>
      </w:r>
      <w:hyperlink w:history="0" w:anchor="P445" w:tooltip="Цепные скребковые и винтовые конвейеры">
        <w:r>
          <w:rPr>
            <w:sz w:val="24"/>
            <w:color w:val="0000ff"/>
          </w:rPr>
          <w:t xml:space="preserve">таблицу N 5</w:t>
        </w:r>
      </w:hyperlink>
      <w:r>
        <w:rPr>
          <w:sz w:val="24"/>
        </w:rPr>
        <w:t xml:space="preserve">, приведенную в приложении N 5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457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5 вносятся наименования зданий и помещений, тип конвейера и его номер по технологической схеме;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в </w:t>
      </w:r>
      <w:hyperlink w:history="0" w:anchor="P458" w:tooltip="3">
        <w:r>
          <w:rPr>
            <w:sz w:val="24"/>
            <w:color w:val="0000ff"/>
          </w:rPr>
          <w:t xml:space="preserve">графы 3</w:t>
        </w:r>
      </w:hyperlink>
      <w:r>
        <w:rPr>
          <w:sz w:val="24"/>
        </w:rPr>
        <w:t xml:space="preserve"> и </w:t>
      </w:r>
      <w:hyperlink w:history="0" w:anchor="P459" w:tooltip="4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таблицы N 5 вносятся в виде отметки "В наличии" или "Отсутствуют".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в </w:t>
      </w:r>
      <w:hyperlink w:history="0" w:anchor="P463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5 приводится информация о наименовании и типе (виде) применяемых датчиков верхнего уровня и концевых выключателях;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460" w:tooltip="5">
        <w:r>
          <w:rPr>
            <w:sz w:val="24"/>
            <w:color w:val="0000ff"/>
          </w:rPr>
          <w:t xml:space="preserve">графы 5</w:t>
        </w:r>
      </w:hyperlink>
      <w:r>
        <w:rPr>
          <w:sz w:val="24"/>
        </w:rPr>
        <w:t xml:space="preserve"> и </w:t>
      </w:r>
      <w:hyperlink w:history="0" w:anchor="P461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таблицы N 5 вносятся данные об оснащенности конвейеров средствами взрывопредупреждения с указанием сведений об их типе (виде), об организации-изготовителе;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случае, если отметка ставится в </w:t>
      </w:r>
      <w:hyperlink w:history="0" w:anchor="P462" w:tooltip="7">
        <w:r>
          <w:rPr>
            <w:sz w:val="24"/>
            <w:color w:val="0000ff"/>
          </w:rPr>
          <w:t xml:space="preserve">графе 7</w:t>
        </w:r>
      </w:hyperlink>
      <w:r>
        <w:rPr>
          <w:sz w:val="24"/>
        </w:rPr>
        <w:t xml:space="preserve"> таблицы N 5, в </w:t>
      </w:r>
      <w:hyperlink w:history="0" w:anchor="P463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5 приводится информация о наименовании и типе (виде) установленного 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неподключение и (или) неисправность сливных самотеков в бункеры и силосы, датчиков верхнего уровня, предохранительных клапанов, концевых выключателей, датчиков подпора, устройств контроля обрыва цепи или других устройств, предохраняющих конвейеры от переполнения короба продуктом, указанных в </w:t>
      </w:r>
      <w:hyperlink w:history="0" w:anchor="P462" w:tooltip="7">
        <w:r>
          <w:rPr>
            <w:sz w:val="24"/>
            <w:color w:val="0000ff"/>
          </w:rPr>
          <w:t xml:space="preserve">графе 7</w:t>
        </w:r>
      </w:hyperlink>
      <w:r>
        <w:rPr>
          <w:sz w:val="24"/>
        </w:rPr>
        <w:t xml:space="preserve"> таблицы N 5, фиксируются в </w:t>
      </w:r>
      <w:hyperlink w:history="0" w:anchor="P463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5 как их отсутствие.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Для отражения оснащенности средствами взрывопредупреждения и взрывозащиты дробилок рекомендуется заполнять </w:t>
      </w:r>
      <w:hyperlink w:history="0" w:anchor="P493" w:tooltip="Дробилки">
        <w:r>
          <w:rPr>
            <w:sz w:val="24"/>
            <w:color w:val="0000ff"/>
          </w:rPr>
          <w:t xml:space="preserve">таблицу N 6</w:t>
        </w:r>
      </w:hyperlink>
      <w:r>
        <w:rPr>
          <w:sz w:val="24"/>
        </w:rPr>
        <w:t xml:space="preserve">, приведенную в приложении N 6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04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6 вносятся наименования здания и помещения, тип дробилки и ее номер по технологической схеме;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05" w:tooltip="3">
        <w:r>
          <w:rPr>
            <w:sz w:val="24"/>
            <w:color w:val="0000ff"/>
          </w:rPr>
          <w:t xml:space="preserve">графу 3</w:t>
        </w:r>
      </w:hyperlink>
      <w:r>
        <w:rPr>
          <w:sz w:val="24"/>
        </w:rPr>
        <w:t xml:space="preserve"> таблицы N 6 вносятся сведения о наличии взрыворазрядителя и месте его установки в соответствии с </w:t>
      </w:r>
      <w:hyperlink w:history="0" r:id="rId24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пунктом 731</w:t>
        </w:r>
      </w:hyperlink>
      <w:r>
        <w:rPr>
          <w:sz w:val="24"/>
        </w:rPr>
        <w:t xml:space="preserve"> Федеральных норм и правил, отклонения от нормативных требований к устройству и установке взрыворазрядителей фиксируются в </w:t>
      </w:r>
      <w:hyperlink w:history="0" w:anchor="P506" w:tooltip="4">
        <w:r>
          <w:rPr>
            <w:sz w:val="24"/>
            <w:color w:val="0000ff"/>
          </w:rPr>
          <w:t xml:space="preserve">графе 4</w:t>
        </w:r>
      </w:hyperlink>
      <w:r>
        <w:rPr>
          <w:sz w:val="24"/>
        </w:rPr>
        <w:t xml:space="preserve"> таблицы N 6;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07" w:tooltip="5">
        <w:r>
          <w:rPr>
            <w:sz w:val="24"/>
            <w:color w:val="0000ff"/>
          </w:rPr>
          <w:t xml:space="preserve">графу 5</w:t>
        </w:r>
      </w:hyperlink>
      <w:r>
        <w:rPr>
          <w:sz w:val="24"/>
        </w:rPr>
        <w:t xml:space="preserve"> таблицы N 6 вносятся сведения о наличии устройства для автоматического регулирования загрузки.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случаях, когда в дробилках предусмотрено устройство для автоматического регулирования загрузки, но устройство не сблокировано с электродвигателем дробилки, сведения об отсутствии блокировки рекомендуется фиксировать в </w:t>
      </w:r>
      <w:hyperlink w:history="0" w:anchor="P510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6 в виде соответствующей отметки;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08" w:tooltip="6">
        <w:r>
          <w:rPr>
            <w:sz w:val="24"/>
            <w:color w:val="0000ff"/>
          </w:rPr>
          <w:t xml:space="preserve">графу 6</w:t>
        </w:r>
      </w:hyperlink>
      <w:r>
        <w:rPr>
          <w:sz w:val="24"/>
        </w:rPr>
        <w:t xml:space="preserve"> таблицы N 6 вносятся сведения о наличии устройств дистанционного автоматического контроля температуры подшипников.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случаях, когда дробилка применяется на действующих объектах, введенных в эксплуатацию до установления указанных требований, и не оснащена устройствами дистанционного автоматического контроля температуры подшипников, в </w:t>
      </w:r>
      <w:hyperlink w:history="0" w:anchor="P510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6 делается соответствующая отметка;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09" w:tooltip="7">
        <w:r>
          <w:rPr>
            <w:sz w:val="24"/>
            <w:color w:val="0000ff"/>
          </w:rPr>
          <w:t xml:space="preserve">графу 7</w:t>
        </w:r>
      </w:hyperlink>
      <w:r>
        <w:rPr>
          <w:sz w:val="24"/>
        </w:rPr>
        <w:t xml:space="preserve"> таблицы N 6 вносятся сведения о сблокировании электроприводов молотковых дробилок с датчиками нижнего уровня наддробильных бункеров в виде отметки "В наличии" или "Отсутствует";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заполнении </w:t>
      </w:r>
      <w:hyperlink w:history="0" w:anchor="P507" w:tooltip="5">
        <w:r>
          <w:rPr>
            <w:sz w:val="24"/>
            <w:color w:val="0000ff"/>
          </w:rPr>
          <w:t xml:space="preserve">граф 5</w:t>
        </w:r>
      </w:hyperlink>
      <w:r>
        <w:rPr>
          <w:sz w:val="24"/>
        </w:rPr>
        <w:t xml:space="preserve">, </w:t>
      </w:r>
      <w:hyperlink w:history="0" w:anchor="P508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и </w:t>
      </w:r>
      <w:hyperlink w:history="0" w:anchor="P509" w:tooltip="7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таблицы N 6 указываются сведения о типе (виде) устройств и датчиков, об организации-изготовителе;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неподключение и (или) неисправность взрыворазрядителей, устройств дистанционного автоматического контроля температуры подшипников (при их наличии), устройств для автоматического регулирования загрузки, датчиков нижнего уровня фиксируются в </w:t>
      </w:r>
      <w:hyperlink w:history="0" w:anchor="P510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6 как их отсутствие;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паспортов на взрыворазрядители фиксируется в </w:t>
      </w:r>
      <w:hyperlink w:history="0" w:anchor="P510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6 в виде соответствующей отметки с указанием количества;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применения дробилок с объемом рабочей зоны и выпускного (поддробильного) бункера менее 0,3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, на которых допускается не устанавливать взрыворазрядители, в </w:t>
      </w:r>
      <w:hyperlink w:history="0" w:anchor="P510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6 указывается суммарный свободный объем рабочей зоны дробилки и выпускного (поддробильного) бункера таких дробилок.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Для отражения оснащенности оборудования, зданий, сооружений и помещений средствами магнитной защиты рекомендуется заполнять </w:t>
      </w:r>
      <w:hyperlink w:history="0" w:anchor="P540" w:tooltip="Магнитная защита">
        <w:r>
          <w:rPr>
            <w:sz w:val="24"/>
            <w:color w:val="0000ff"/>
          </w:rPr>
          <w:t xml:space="preserve">таблицу N 7</w:t>
        </w:r>
      </w:hyperlink>
      <w:r>
        <w:rPr>
          <w:sz w:val="24"/>
        </w:rPr>
        <w:t xml:space="preserve">, приведенную в приложении N 7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56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7 вносятся наименования зданий, помещений (этажа), в которых установлено ударно-измельчающее оборудование (вальцовые станки, дробилки, бичевые, вымольные, шлифовальные, шелушильные и обоечные машины, триеры и другое оборудование с аналогичным принципом действия, в том числе главные конвейеры, стружечные станки, рубительные машины деревообрабатывающих производств), а также приемные устройства автомобильного, железнодорожного и водного транспорта, где в соответствии с требованиями Федеральных </w:t>
      </w:r>
      <w:hyperlink w:history="0" r:id="rId25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норм и правил</w:t>
        </w:r>
      </w:hyperlink>
      <w:r>
        <w:rPr>
          <w:sz w:val="24"/>
        </w:rPr>
        <w:t xml:space="preserve"> необходимо предусматривать установку магнитной защиты. Указываются наименования, тип и номер по технологической схеме оборудования, перед которым устанавливают магнитную защиту;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57" w:tooltip="3">
        <w:r>
          <w:rPr>
            <w:sz w:val="24"/>
            <w:color w:val="0000ff"/>
          </w:rPr>
          <w:t xml:space="preserve">графу 3</w:t>
        </w:r>
      </w:hyperlink>
      <w:r>
        <w:rPr>
          <w:sz w:val="24"/>
        </w:rPr>
        <w:t xml:space="preserve"> таблицы N 7 вносятся сведения о типе магнитной защиты и организации-изготовителе;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58" w:tooltip="4">
        <w:r>
          <w:rPr>
            <w:sz w:val="24"/>
            <w:color w:val="0000ff"/>
          </w:rPr>
          <w:t xml:space="preserve">графу 4</w:t>
        </w:r>
      </w:hyperlink>
      <w:r>
        <w:rPr>
          <w:sz w:val="24"/>
        </w:rPr>
        <w:t xml:space="preserve"> таблицы N 7 вносятся сведения о номинальной производительности;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59" w:tooltip="5">
        <w:r>
          <w:rPr>
            <w:sz w:val="24"/>
            <w:color w:val="0000ff"/>
          </w:rPr>
          <w:t xml:space="preserve">графу 5</w:t>
        </w:r>
      </w:hyperlink>
      <w:r>
        <w:rPr>
          <w:sz w:val="24"/>
        </w:rPr>
        <w:t xml:space="preserve"> таблицы N 7 вносятся сведения о максимальной пропускной 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60" w:tooltip="6">
        <w:r>
          <w:rPr>
            <w:sz w:val="24"/>
            <w:color w:val="0000ff"/>
          </w:rPr>
          <w:t xml:space="preserve">графу 6</w:t>
        </w:r>
      </w:hyperlink>
      <w:r>
        <w:rPr>
          <w:sz w:val="24"/>
        </w:rPr>
        <w:t xml:space="preserve"> таблицы N 7 вносятся сведения об эффективности очистки (извлечения металломагнитных примесей). В качестве критерия эффективности магнитной защиты рекомендуется принимать полное извлечение металломагнитных примесей, способных инициировать искру;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561" w:tooltip="7">
        <w:r>
          <w:rPr>
            <w:sz w:val="24"/>
            <w:color w:val="0000ff"/>
          </w:rPr>
          <w:t xml:space="preserve">графы 7</w:t>
        </w:r>
      </w:hyperlink>
      <w:r>
        <w:rPr>
          <w:sz w:val="24"/>
        </w:rPr>
        <w:t xml:space="preserve">, </w:t>
      </w:r>
      <w:hyperlink w:history="0" w:anchor="P562" w:tooltip="8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 и </w:t>
      </w:r>
      <w:hyperlink w:history="0" w:anchor="P563" w:tooltip="9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таблицы N 7 вносятся сведения о нормативной (установленной организацией-изготовителем) и фактической величинах магнитной индукции, а также об отклонении данного параметра от нормы;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неподключение и (или) неисправность средств магнитной защиты фиксируются в </w:t>
      </w:r>
      <w:hyperlink w:history="0" w:anchor="P564" w:tooltip="10">
        <w:r>
          <w:rPr>
            <w:sz w:val="24"/>
            <w:color w:val="0000ff"/>
          </w:rPr>
          <w:t xml:space="preserve">графе 10</w:t>
        </w:r>
      </w:hyperlink>
      <w:r>
        <w:rPr>
          <w:sz w:val="24"/>
        </w:rPr>
        <w:t xml:space="preserve"> "Примечание" таблицы N 7 в виде соответствующей отметки;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блокировки электродвигателей электромагнитных сепараторов, обеспечивающей их остановку при отсутствии постоянного тока в цепях электромагнитов; нарушение изоляции токоведущих частей электромагнитных сепараторов; неполное извлечение металломагнитных примесей, способных инициировать искру рекомендуется фиксировать в </w:t>
      </w:r>
      <w:hyperlink w:history="0" w:anchor="P564" w:tooltip="10">
        <w:r>
          <w:rPr>
            <w:sz w:val="24"/>
            <w:color w:val="0000ff"/>
          </w:rPr>
          <w:t xml:space="preserve">графе 10</w:t>
        </w:r>
      </w:hyperlink>
      <w:r>
        <w:rPr>
          <w:sz w:val="24"/>
        </w:rPr>
        <w:t xml:space="preserve"> "Примечание" таблицы N 7 в виде соответствующей отметки.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Для отражения оснащенности средствами взрывопредупреждения и взрывозащиты силосов, бункеров и складов рекомендуется заполнять </w:t>
      </w:r>
      <w:hyperlink w:history="0" w:anchor="P596" w:tooltip="Устройства дистанционного контроля температуры">
        <w:r>
          <w:rPr>
            <w:sz w:val="24"/>
            <w:color w:val="0000ff"/>
          </w:rPr>
          <w:t xml:space="preserve">таблицу N 8</w:t>
        </w:r>
      </w:hyperlink>
      <w:r>
        <w:rPr>
          <w:sz w:val="24"/>
        </w:rPr>
        <w:t xml:space="preserve">, приведенную в приложении N 8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608" w:tooltip="2">
        <w:r>
          <w:rPr>
            <w:sz w:val="24"/>
            <w:color w:val="0000ff"/>
          </w:rPr>
          <w:t xml:space="preserve">графе 2</w:t>
        </w:r>
      </w:hyperlink>
      <w:r>
        <w:rPr>
          <w:sz w:val="24"/>
        </w:rPr>
        <w:t xml:space="preserve"> таблицы N 8 указываются наименования объекта, силоса, бункера и склада, которые подлежат оборудованию устройствами дистанционного контроля температуры: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силосные корпуса элеваторов и складов силосного типа (в том числе из металлоконструкций), бункеры для хранения зерна, продуктов его переработки и комбикормового сырья;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силосы, бункеры и склады, используемые в качестве накопительных емкостей при приемке и формировании партий свежеубранного (урожая текущего года) зерна;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склады для хранения шротов, жмыхов, отрубей и гранулированной травяной муки (независимо от мест их расположения);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заполнении </w:t>
      </w:r>
      <w:hyperlink w:history="0" w:anchor="P609" w:tooltip="3">
        <w:r>
          <w:rPr>
            <w:sz w:val="24"/>
            <w:color w:val="0000ff"/>
          </w:rPr>
          <w:t xml:space="preserve">графы 3</w:t>
        </w:r>
      </w:hyperlink>
      <w:r>
        <w:rPr>
          <w:sz w:val="24"/>
        </w:rPr>
        <w:t xml:space="preserve"> таблицы N 8 неподключение и (или) неисправность устройства дистанционного контроля температуры фиксируются в </w:t>
      </w:r>
      <w:hyperlink w:history="0" w:anchor="P614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таблицы N 8 "Примечание" в виде соответствующей отметки. При этом следует учитывать погрешности применяемых средств измерений;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610" w:tooltip="4">
        <w:r>
          <w:rPr>
            <w:sz w:val="24"/>
            <w:color w:val="0000ff"/>
          </w:rPr>
          <w:t xml:space="preserve">графе 4</w:t>
        </w:r>
      </w:hyperlink>
      <w:r>
        <w:rPr>
          <w:sz w:val="24"/>
        </w:rPr>
        <w:t xml:space="preserve"> таблицы N 8 указываются сведения о метрологическом обеспечении устройства дистанционного контроля температуры в целом (состоящего из термоподвесок (первичных измерительных преобразователей температуры), коммутационных блоков с комплектами соединительных кабелей, вторичных измерительных преобразователей температуры, приборов, блоков и иных технических средств обработки измерительной информации или обработки измеренной температуры на ЭВМ и необходимого программного обеспечения) и о включении сведений об утвержденном типе средств измерений такого устройства в Федеральный информационный фонд по обеспечению единства измерений в соответствии с Федеральным </w:t>
      </w:r>
      <w:hyperlink w:history="0" r:id="rId26" w:tooltip="Федеральный закон от 26.06.2008 N 102-ФЗ (ред. от 08.08.2024) &quot;Об обеспечении единства измерений&quot; (с изм. и доп., вступ. в силу с 01.01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26 июня 2008 г. N 102-ФЗ "Об обеспечении единства измерений" (или, при наличии, о документах об утверждении его типа средств измерения);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заполнении </w:t>
      </w:r>
      <w:hyperlink w:history="0" w:anchor="P611" w:tooltip="5">
        <w:r>
          <w:rPr>
            <w:sz w:val="24"/>
            <w:color w:val="0000ff"/>
          </w:rPr>
          <w:t xml:space="preserve">граф 5</w:t>
        </w:r>
      </w:hyperlink>
      <w:r>
        <w:rPr>
          <w:sz w:val="24"/>
        </w:rPr>
        <w:t xml:space="preserve">, </w:t>
      </w:r>
      <w:hyperlink w:history="0" w:anchor="P612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и </w:t>
      </w:r>
      <w:hyperlink w:history="0" w:anchor="P613" w:tooltip="7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таблицы N 8 неисправные или отключенные термоподвески учитываются как отсутствующие, общее количество таких подвесок фиксируется в </w:t>
      </w:r>
      <w:hyperlink w:history="0" w:anchor="P614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"Примечание" таблицы N 8.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Для отражения оснащенности зданий, сооружений и помещений аспирационными и пневмотранспортными установками рекомендуется заполнять </w:t>
      </w:r>
      <w:hyperlink w:history="0" w:anchor="P644" w:tooltip="Аспирационные и пневмотранспортные установки">
        <w:r>
          <w:rPr>
            <w:sz w:val="24"/>
            <w:color w:val="0000ff"/>
          </w:rPr>
          <w:t xml:space="preserve">таблицу N 9</w:t>
        </w:r>
      </w:hyperlink>
      <w:r>
        <w:rPr>
          <w:sz w:val="24"/>
        </w:rPr>
        <w:t xml:space="preserve">, приведенную в приложении N 9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652" w:tooltip="2">
        <w:r>
          <w:rPr>
            <w:sz w:val="24"/>
            <w:color w:val="0000ff"/>
          </w:rPr>
          <w:t xml:space="preserve">графе 2</w:t>
        </w:r>
      </w:hyperlink>
      <w:r>
        <w:rPr>
          <w:sz w:val="24"/>
        </w:rPr>
        <w:t xml:space="preserve"> таблицы N 9 указываются наименования зданий, сооружений и помещений;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653" w:tooltip="3">
        <w:r>
          <w:rPr>
            <w:sz w:val="24"/>
            <w:color w:val="0000ff"/>
          </w:rPr>
          <w:t xml:space="preserve">графе 3</w:t>
        </w:r>
      </w:hyperlink>
      <w:r>
        <w:rPr>
          <w:sz w:val="24"/>
        </w:rPr>
        <w:t xml:space="preserve"> таблицы N 9 указываются номера аспирационных и пневмотранспортных установок, установленных на объектах, а также сведения об отсутствии документов, содержащих сведения о находящихся в эксплуатации аспирационных и пневмотранспортных установках (далее - паспорта на аспирационные установки, паспорта на пневмотранспортные установки соответственно);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654" w:tooltip="4">
        <w:r>
          <w:rPr>
            <w:sz w:val="24"/>
            <w:color w:val="0000ff"/>
          </w:rPr>
          <w:t xml:space="preserve">графе 4</w:t>
        </w:r>
      </w:hyperlink>
      <w:r>
        <w:rPr>
          <w:sz w:val="24"/>
        </w:rPr>
        <w:t xml:space="preserve"> таблицы N 9 "Примечание" указываются внутренние распорядительные документы эксплуатирующей объект организации, в соответствии с которыми составлены паспорта на аспирационные установки и паспорта на пневмотранспортные установки.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Для отражения оснащенности средствами взрывопредупреждения и взрывозащиты сушилок рекомендуется заполнять </w:t>
      </w:r>
      <w:hyperlink w:history="0" w:anchor="P680" w:tooltip="Сушилки">
        <w:r>
          <w:rPr>
            <w:sz w:val="24"/>
            <w:color w:val="0000ff"/>
          </w:rPr>
          <w:t xml:space="preserve">таблицу N 10</w:t>
        </w:r>
      </w:hyperlink>
      <w:r>
        <w:rPr>
          <w:sz w:val="24"/>
        </w:rPr>
        <w:t xml:space="preserve">, приведенную в приложении N 10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703" w:tooltip="2">
        <w:r>
          <w:rPr>
            <w:sz w:val="24"/>
            <w:color w:val="0000ff"/>
          </w:rPr>
          <w:t xml:space="preserve">графе 2</w:t>
        </w:r>
      </w:hyperlink>
      <w:r>
        <w:rPr>
          <w:sz w:val="24"/>
        </w:rPr>
        <w:t xml:space="preserve"> таблицы N 10 указываются тип сушилки и ее порядковый номер;</w:t>
      </w:r>
    </w:p>
    <w:p>
      <w:pPr>
        <w:pStyle w:val="0"/>
        <w:spacing w:before="240" w:lineRule="auto"/>
        <w:ind w:firstLine="540"/>
        <w:jc w:val="both"/>
      </w:pPr>
      <w:hyperlink w:history="0" w:anchor="P704" w:tooltip="3">
        <w:r>
          <w:rPr>
            <w:sz w:val="24"/>
            <w:color w:val="0000ff"/>
          </w:rPr>
          <w:t xml:space="preserve">графы 3</w:t>
        </w:r>
      </w:hyperlink>
      <w:r>
        <w:rPr>
          <w:sz w:val="24"/>
        </w:rPr>
        <w:t xml:space="preserve"> - </w:t>
      </w:r>
      <w:hyperlink w:history="0" w:anchor="P714" w:tooltip="13">
        <w:r>
          <w:rPr>
            <w:sz w:val="24"/>
            <w:color w:val="0000ff"/>
          </w:rPr>
          <w:t xml:space="preserve">13</w:t>
        </w:r>
      </w:hyperlink>
      <w:r>
        <w:rPr>
          <w:sz w:val="24"/>
        </w:rPr>
        <w:t xml:space="preserve"> таблицы N 10 заполняются для рециркуляционных зерносушилок с камерами нагрева, шахтных зерносушилок с подогревателями и каскадными нагревателями;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704" w:tooltip="3">
        <w:r>
          <w:rPr>
            <w:sz w:val="24"/>
            <w:color w:val="0000ff"/>
          </w:rPr>
          <w:t xml:space="preserve">графы 3</w:t>
        </w:r>
      </w:hyperlink>
      <w:r>
        <w:rPr>
          <w:sz w:val="24"/>
        </w:rPr>
        <w:t xml:space="preserve">, </w:t>
      </w:r>
      <w:hyperlink w:history="0" w:anchor="P705" w:tooltip="4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, </w:t>
      </w:r>
      <w:hyperlink w:history="0" w:anchor="P706" w:tooltip="5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и </w:t>
      </w:r>
      <w:hyperlink w:history="0" w:anchor="P707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таблицы N 10 вносятся сведения в виде отметки "В наличии" или "Отсутствует";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708" w:tooltip="7">
        <w:r>
          <w:rPr>
            <w:sz w:val="24"/>
            <w:color w:val="0000ff"/>
          </w:rPr>
          <w:t xml:space="preserve">графы 7</w:t>
        </w:r>
      </w:hyperlink>
      <w:r>
        <w:rPr>
          <w:sz w:val="24"/>
        </w:rPr>
        <w:t xml:space="preserve">, </w:t>
      </w:r>
      <w:hyperlink w:history="0" w:anchor="P709" w:tooltip="8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, </w:t>
      </w:r>
      <w:hyperlink w:history="0" w:anchor="P710" w:tooltip="9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, </w:t>
      </w:r>
      <w:hyperlink w:history="0" w:anchor="P711" w:tooltip="10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, </w:t>
      </w:r>
      <w:hyperlink w:history="0" w:anchor="P712" w:tooltip="11">
        <w:r>
          <w:rPr>
            <w:sz w:val="24"/>
            <w:color w:val="0000ff"/>
          </w:rPr>
          <w:t xml:space="preserve">11</w:t>
        </w:r>
      </w:hyperlink>
      <w:r>
        <w:rPr>
          <w:sz w:val="24"/>
        </w:rPr>
        <w:t xml:space="preserve">, </w:t>
      </w:r>
      <w:hyperlink w:history="0" w:anchor="P713" w:tooltip="12">
        <w:r>
          <w:rPr>
            <w:sz w:val="24"/>
            <w:color w:val="0000ff"/>
          </w:rPr>
          <w:t xml:space="preserve">12</w:t>
        </w:r>
      </w:hyperlink>
      <w:r>
        <w:rPr>
          <w:sz w:val="24"/>
        </w:rPr>
        <w:t xml:space="preserve"> и </w:t>
      </w:r>
      <w:hyperlink w:history="0" w:anchor="P714" w:tooltip="13">
        <w:r>
          <w:rPr>
            <w:sz w:val="24"/>
            <w:color w:val="0000ff"/>
          </w:rPr>
          <w:t xml:space="preserve">13</w:t>
        </w:r>
      </w:hyperlink>
      <w:r>
        <w:rPr>
          <w:sz w:val="24"/>
        </w:rPr>
        <w:t xml:space="preserve"> таблицы N 10 вносятся сведения в виде отметки "В наличии" или "Отсутствует";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несоответствия мест установки взрыворазрядителей на камерах нагрева, подогревателях, каскадных нагревателях, осадочных камерах, топках, надсушильных бункерах и на нориях, обслуживающих зерносушилки, требованиям </w:t>
      </w:r>
      <w:hyperlink w:history="0" r:id="rId27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пунктов 734</w:t>
        </w:r>
      </w:hyperlink>
      <w:r>
        <w:rPr>
          <w:sz w:val="24"/>
        </w:rPr>
        <w:t xml:space="preserve"> - </w:t>
      </w:r>
      <w:hyperlink w:history="0" r:id="rId28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740</w:t>
        </w:r>
      </w:hyperlink>
      <w:r>
        <w:rPr>
          <w:sz w:val="24"/>
        </w:rPr>
        <w:t xml:space="preserve"> Федеральных норм и правил в </w:t>
      </w:r>
      <w:hyperlink w:history="0" w:anchor="P718" w:tooltip="17">
        <w:r>
          <w:rPr>
            <w:sz w:val="24"/>
            <w:color w:val="0000ff"/>
          </w:rPr>
          <w:t xml:space="preserve">графу 17</w:t>
        </w:r>
      </w:hyperlink>
      <w:r>
        <w:rPr>
          <w:sz w:val="24"/>
        </w:rPr>
        <w:t xml:space="preserve"> "Примечание" таблицы N 10 вносится соответствующая отметка;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715" w:tooltip="14">
        <w:r>
          <w:rPr>
            <w:sz w:val="24"/>
            <w:color w:val="0000ff"/>
          </w:rPr>
          <w:t xml:space="preserve">графу 14</w:t>
        </w:r>
      </w:hyperlink>
      <w:r>
        <w:rPr>
          <w:sz w:val="24"/>
        </w:rPr>
        <w:t xml:space="preserve"> таблицы N 10 вносятся сведения о размещении вентиляторов и пылеуловителей зерносушилок в рабочих зданиях элеваторов в виде отметки "В наличии" или "Отсутствуют";</w:t>
      </w:r>
    </w:p>
    <w:p>
      <w:pPr>
        <w:pStyle w:val="0"/>
        <w:spacing w:before="240" w:lineRule="auto"/>
        <w:ind w:firstLine="540"/>
        <w:jc w:val="both"/>
      </w:pPr>
      <w:hyperlink w:history="0" w:anchor="P716" w:tooltip="15">
        <w:r>
          <w:rPr>
            <w:sz w:val="24"/>
            <w:color w:val="0000ff"/>
          </w:rPr>
          <w:t xml:space="preserve">графы 15</w:t>
        </w:r>
      </w:hyperlink>
      <w:r>
        <w:rPr>
          <w:sz w:val="24"/>
        </w:rPr>
        <w:t xml:space="preserve"> и </w:t>
      </w:r>
      <w:hyperlink w:history="0" w:anchor="P717" w:tooltip="16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таблицы N 10 заполняются для сушильных агрегатов деревообрабатывающих производств.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Для отражения оснащенности средствами взрывопредупреждения и взрывозащиты жомосушильных установок и шнековых затворов рекомендуется заполнять </w:t>
      </w:r>
      <w:hyperlink w:history="0" w:anchor="P757" w:tooltip="Жомосушильные установки">
        <w:r>
          <w:rPr>
            <w:sz w:val="24"/>
            <w:color w:val="0000ff"/>
          </w:rPr>
          <w:t xml:space="preserve">таблицу N 11</w:t>
        </w:r>
      </w:hyperlink>
      <w:r>
        <w:rPr>
          <w:sz w:val="24"/>
        </w:rPr>
        <w:t xml:space="preserve">, приведенную в приложении N 11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772" w:tooltip="2">
        <w:r>
          <w:rPr>
            <w:sz w:val="24"/>
            <w:color w:val="0000ff"/>
          </w:rPr>
          <w:t xml:space="preserve">графы 2</w:t>
        </w:r>
      </w:hyperlink>
      <w:r>
        <w:rPr>
          <w:sz w:val="24"/>
        </w:rPr>
        <w:t xml:space="preserve">, </w:t>
      </w:r>
      <w:hyperlink w:history="0" w:anchor="P773" w:tooltip="3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, </w:t>
      </w:r>
      <w:hyperlink w:history="0" w:anchor="P774" w:tooltip="4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, </w:t>
      </w:r>
      <w:hyperlink w:history="0" w:anchor="P775" w:tooltip="5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, </w:t>
      </w:r>
      <w:hyperlink w:history="0" w:anchor="P776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и </w:t>
      </w:r>
      <w:hyperlink w:history="0" w:anchor="P777" w:tooltip="7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таблицы N 11 вносятся сведения в виде отметки "В наличии" или "Отсутствует";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неподключение или неисправность систем автоматического контроля и противоаварийных устройств фиксируются в </w:t>
      </w:r>
      <w:hyperlink w:history="0" w:anchor="P780" w:tooltip="10">
        <w:r>
          <w:rPr>
            <w:sz w:val="24"/>
            <w:color w:val="0000ff"/>
          </w:rPr>
          <w:t xml:space="preserve">графе 10</w:t>
        </w:r>
      </w:hyperlink>
      <w:r>
        <w:rPr>
          <w:sz w:val="24"/>
        </w:rPr>
        <w:t xml:space="preserve"> "Примечание" таблицы N 11 как их отсутствие;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779" w:tooltip="9">
        <w:r>
          <w:rPr>
            <w:sz w:val="24"/>
            <w:color w:val="0000ff"/>
          </w:rPr>
          <w:t xml:space="preserve">графе 9</w:t>
        </w:r>
      </w:hyperlink>
      <w:r>
        <w:rPr>
          <w:sz w:val="24"/>
        </w:rPr>
        <w:t xml:space="preserve"> таблицы N 11 указываются сведения о наличии пылеулавливающих устройств в виде отметки "В наличии" или "Отсутствуют".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случаях, если на объекте допущено устройство аспирационных пылеосадочных шахт, камер, коробов, размещенных после пылеулавливающих установок, в </w:t>
      </w:r>
      <w:hyperlink w:history="0" w:anchor="P780" w:tooltip="10">
        <w:r>
          <w:rPr>
            <w:sz w:val="24"/>
            <w:color w:val="0000ff"/>
          </w:rPr>
          <w:t xml:space="preserve">графу 10</w:t>
        </w:r>
      </w:hyperlink>
      <w:r>
        <w:rPr>
          <w:sz w:val="24"/>
        </w:rPr>
        <w:t xml:space="preserve"> таблицы N 11 вносится соответствующая отметка;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778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таблицы N 11 при других проектных решениях эти решения указываются простым перечислением.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Для отражения оснащенности оборудования и технологических процессов системами локализации взрыва рекомендуется заполнять </w:t>
      </w:r>
      <w:hyperlink w:history="0" w:anchor="P812" w:tooltip="Системы локализации взрыва">
        <w:r>
          <w:rPr>
            <w:sz w:val="24"/>
            <w:color w:val="0000ff"/>
          </w:rPr>
          <w:t xml:space="preserve">таблицу N 12</w:t>
        </w:r>
      </w:hyperlink>
      <w:r>
        <w:rPr>
          <w:sz w:val="24"/>
        </w:rPr>
        <w:t xml:space="preserve">, приведенную в приложении N 12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31" w:tooltip="2">
        <w:r>
          <w:rPr>
            <w:sz w:val="24"/>
            <w:color w:val="0000ff"/>
          </w:rPr>
          <w:t xml:space="preserve">графе 2</w:t>
        </w:r>
      </w:hyperlink>
      <w:r>
        <w:rPr>
          <w:sz w:val="24"/>
        </w:rPr>
        <w:t xml:space="preserve"> таблицы N 12 указываются наименования здания и помещения, места установки огнепреграждающих (пламеотсекающих) устройств, управляющих датчиков и взрыворазрядителей. При других проектных решениях эти решения указываются простым перечислением;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32" w:tooltip="3">
        <w:r>
          <w:rPr>
            <w:sz w:val="24"/>
            <w:color w:val="0000ff"/>
          </w:rPr>
          <w:t xml:space="preserve">графах 3</w:t>
        </w:r>
      </w:hyperlink>
      <w:r>
        <w:rPr>
          <w:sz w:val="24"/>
        </w:rPr>
        <w:t xml:space="preserve">, </w:t>
      </w:r>
      <w:hyperlink w:history="0" w:anchor="P833" w:tooltip="4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и </w:t>
      </w:r>
      <w:hyperlink w:history="0" w:anchor="P834" w:tooltip="5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таблицы N 12 рекомендуется указывать фактическое и требуемое (в соответствии с проектным решением) количество огнепреграждающих (пламеотсекающих) устройств, управляющих датчиков и взрыворазрядителей, соответственно;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35" w:tooltip="6">
        <w:r>
          <w:rPr>
            <w:sz w:val="24"/>
            <w:color w:val="0000ff"/>
          </w:rPr>
          <w:t xml:space="preserve">графе 6</w:t>
        </w:r>
      </w:hyperlink>
      <w:r>
        <w:rPr>
          <w:sz w:val="24"/>
        </w:rPr>
        <w:t xml:space="preserve"> таблицы N 12 отражаются сведения о наличии дистанционного автоматизированного управления, блокировки и контроля за работой системы локализации взрыва в виде отметки "В наличии" или "Отсутствует";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36" w:tooltip="7">
        <w:r>
          <w:rPr>
            <w:sz w:val="24"/>
            <w:color w:val="0000ff"/>
          </w:rPr>
          <w:t xml:space="preserve">графе 7</w:t>
        </w:r>
      </w:hyperlink>
      <w:r>
        <w:rPr>
          <w:sz w:val="24"/>
        </w:rPr>
        <w:t xml:space="preserve"> таблицы N 12 указывается количество выведенных взрыворазрядителей в производственное помещение с установленными на них исправными огнепреграждающими (пламеотсекающими) устройствами.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в </w:t>
      </w:r>
      <w:hyperlink w:history="0" w:anchor="P838" w:tooltip="9">
        <w:r>
          <w:rPr>
            <w:sz w:val="24"/>
            <w:color w:val="0000ff"/>
          </w:rPr>
          <w:t xml:space="preserve">графе 9</w:t>
        </w:r>
      </w:hyperlink>
      <w:r>
        <w:rPr>
          <w:sz w:val="24"/>
        </w:rPr>
        <w:t xml:space="preserve"> "Примечание" таблицы N 12 указываются реквизиты обосновывающих правомерность вывода взрыворазрядителей в производственное помещение документов, предусмотренных </w:t>
      </w:r>
      <w:hyperlink w:history="0" r:id="rId29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пунктом 33</w:t>
        </w:r>
      </w:hyperlink>
      <w:r>
        <w:rPr>
          <w:sz w:val="24"/>
        </w:rPr>
        <w:t xml:space="preserve"> Федеральных норм и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37" w:tooltip="8">
        <w:r>
          <w:rPr>
            <w:sz w:val="24"/>
            <w:color w:val="0000ff"/>
          </w:rPr>
          <w:t xml:space="preserve">графе 8</w:t>
        </w:r>
      </w:hyperlink>
      <w:r>
        <w:rPr>
          <w:sz w:val="24"/>
        </w:rPr>
        <w:t xml:space="preserve"> таблицы N 12 указывается количество выведенных взрыворазрядителей в производственное помещение без установки на них исправных огнепреграждающих (пламеотсекающих) устройств;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38" w:tooltip="9">
        <w:r>
          <w:rPr>
            <w:sz w:val="24"/>
            <w:color w:val="0000ff"/>
          </w:rPr>
          <w:t xml:space="preserve">графе 9</w:t>
        </w:r>
      </w:hyperlink>
      <w:r>
        <w:rPr>
          <w:sz w:val="24"/>
        </w:rPr>
        <w:t xml:space="preserve"> "Примечание" таблицы N 12 в случае выявления неподключения или неисправности установленных огнепреграждающих (пламеотсекающих) устройств, управляющих датчиков и взрыворазрядителей делается соответствующая отметка.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Для отражения сведений об электростатической искробезопасности, электроустановках, защитном заземлении, молниезащите рекомендуется заполнять </w:t>
      </w:r>
      <w:hyperlink w:history="0" w:anchor="P869" w:tooltip="Электростатическая искробезопасность, электроустановки,">
        <w:r>
          <w:rPr>
            <w:sz w:val="24"/>
            <w:color w:val="0000ff"/>
          </w:rPr>
          <w:t xml:space="preserve">таблицу N 13</w:t>
        </w:r>
      </w:hyperlink>
      <w:r>
        <w:rPr>
          <w:sz w:val="24"/>
        </w:rPr>
        <w:t xml:space="preserve">, приведенную в приложении N 13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82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13 вносятся наименования здания и помещения, этажа, на котором расположено оборудование, машины, аппараты, емкости, агрегаты, устройства и установки;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83" w:tooltip="3">
        <w:r>
          <w:rPr>
            <w:sz w:val="24"/>
            <w:color w:val="0000ff"/>
          </w:rPr>
          <w:t xml:space="preserve">графу 3</w:t>
        </w:r>
      </w:hyperlink>
      <w:r>
        <w:rPr>
          <w:sz w:val="24"/>
        </w:rPr>
        <w:t xml:space="preserve"> таблицы N 13 вносятся сведения о соединении отдельными ответвлениями с магистральными линиями уравнивания потенциала аппаратов, емкостей, агрегатов и устройств в соответствии с требованиями </w:t>
      </w:r>
      <w:hyperlink w:history="0" r:id="rId30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пункта 116</w:t>
        </w:r>
      </w:hyperlink>
      <w:r>
        <w:rPr>
          <w:sz w:val="24"/>
        </w:rPr>
        <w:t xml:space="preserve"> Федеральных норм и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84" w:tooltip="4">
        <w:r>
          <w:rPr>
            <w:sz w:val="24"/>
            <w:color w:val="0000ff"/>
          </w:rPr>
          <w:t xml:space="preserve">графу 4</w:t>
        </w:r>
      </w:hyperlink>
      <w:r>
        <w:rPr>
          <w:sz w:val="24"/>
        </w:rPr>
        <w:t xml:space="preserve"> таблицы N 13 вносятся сведения о заземлении труб, составляющих пневмотранспортные материалопроводы, металлических бункеров, днищ железобетонных силосов, циклонов, оборудования бестарных складов хранения муки;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85" w:tooltip="5">
        <w:r>
          <w:rPr>
            <w:sz w:val="24"/>
            <w:color w:val="0000ff"/>
          </w:rPr>
          <w:t xml:space="preserve">графу 5</w:t>
        </w:r>
      </w:hyperlink>
      <w:r>
        <w:rPr>
          <w:sz w:val="24"/>
        </w:rPr>
        <w:t xml:space="preserve"> таблицы N 13 вносятся сведения о прошивке матерчатых фильтров медной проволокой и соединении ее с системой заземления;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86" w:tooltip="6">
        <w:r>
          <w:rPr>
            <w:sz w:val="24"/>
            <w:color w:val="0000ff"/>
          </w:rPr>
          <w:t xml:space="preserve">графу 6</w:t>
        </w:r>
      </w:hyperlink>
      <w:r>
        <w:rPr>
          <w:sz w:val="24"/>
        </w:rPr>
        <w:t xml:space="preserve"> таблицы N 13 вносятся сведения о заземлении технологического оборудования и продуктопроводов в соответствии с требованиями </w:t>
      </w:r>
      <w:hyperlink w:history="0" r:id="rId31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пункта 122</w:t>
        </w:r>
      </w:hyperlink>
      <w:r>
        <w:rPr>
          <w:sz w:val="24"/>
        </w:rPr>
        <w:t xml:space="preserve"> Федеральных норм и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87" w:tooltip="7">
        <w:r>
          <w:rPr>
            <w:sz w:val="24"/>
            <w:color w:val="0000ff"/>
          </w:rPr>
          <w:t xml:space="preserve">графу 7</w:t>
        </w:r>
      </w:hyperlink>
      <w:r>
        <w:rPr>
          <w:sz w:val="24"/>
        </w:rPr>
        <w:t xml:space="preserve"> таблицы N 13 вносятся сведения о заземлении валов машин, оборудованных подшипниками скольжения с кольцевой смазкой;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888" w:tooltip="8">
        <w:r>
          <w:rPr>
            <w:sz w:val="24"/>
            <w:color w:val="0000ff"/>
          </w:rPr>
          <w:t xml:space="preserve">графу 8</w:t>
        </w:r>
      </w:hyperlink>
      <w:r>
        <w:rPr>
          <w:sz w:val="24"/>
        </w:rPr>
        <w:t xml:space="preserve"> таблицы N 13 вносятся сведения об использовании в качестве молниеприемника металлической сетки или металлических конструкций оборудования (в виде отметки "В наличии" или "Отсутствует").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в случае отметки "В наличии" в </w:t>
      </w:r>
      <w:hyperlink w:history="0" w:anchor="P889" w:tooltip="9">
        <w:r>
          <w:rPr>
            <w:sz w:val="24"/>
            <w:color w:val="0000ff"/>
          </w:rPr>
          <w:t xml:space="preserve">графе 9</w:t>
        </w:r>
      </w:hyperlink>
      <w:r>
        <w:rPr>
          <w:sz w:val="24"/>
        </w:rPr>
        <w:t xml:space="preserve"> "Примечание" таблицы N 13 приводится информация о конструкциях (сетке), используемых на объекте в качестве молниеприемника;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заполнение </w:t>
      </w:r>
      <w:hyperlink w:history="0" w:anchor="P883" w:tooltip="3">
        <w:r>
          <w:rPr>
            <w:sz w:val="24"/>
            <w:color w:val="0000ff"/>
          </w:rPr>
          <w:t xml:space="preserve">граф 3</w:t>
        </w:r>
      </w:hyperlink>
      <w:r>
        <w:rPr>
          <w:sz w:val="24"/>
        </w:rPr>
        <w:t xml:space="preserve"> - </w:t>
      </w:r>
      <w:hyperlink w:history="0" w:anchor="P887" w:tooltip="7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таблицы N 13 рекомендуется производить в виде отметки "Выполнено" или "Не выполнено".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отклонения от требований, установленных соответствующими пунктами Федеральных </w:t>
      </w:r>
      <w:hyperlink w:history="0" r:id="rId32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норм и правил</w:t>
        </w:r>
      </w:hyperlink>
      <w:r>
        <w:rPr>
          <w:sz w:val="24"/>
        </w:rPr>
        <w:t xml:space="preserve">, в </w:t>
      </w:r>
      <w:hyperlink w:history="0" w:anchor="P889" w:tooltip="9">
        <w:r>
          <w:rPr>
            <w:sz w:val="24"/>
            <w:color w:val="0000ff"/>
          </w:rPr>
          <w:t xml:space="preserve">графе 9</w:t>
        </w:r>
      </w:hyperlink>
      <w:r>
        <w:rPr>
          <w:sz w:val="24"/>
        </w:rPr>
        <w:t xml:space="preserve"> "Примечание" таблицы N 13 приводится соответствующая информация.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Для отражения сведений о системах воздушного отопления и вентиляции рекомендуется заполнять </w:t>
      </w:r>
      <w:hyperlink w:history="0" w:anchor="P920" w:tooltip="Системы воздушного отопления и вентиляции">
        <w:r>
          <w:rPr>
            <w:sz w:val="24"/>
            <w:color w:val="0000ff"/>
          </w:rPr>
          <w:t xml:space="preserve">таблицу N 14</w:t>
        </w:r>
      </w:hyperlink>
      <w:r>
        <w:rPr>
          <w:sz w:val="24"/>
        </w:rPr>
        <w:t xml:space="preserve">, приведенную в приложении N 14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931" w:tooltip="2">
        <w:r>
          <w:rPr>
            <w:sz w:val="24"/>
            <w:color w:val="0000ff"/>
          </w:rPr>
          <w:t xml:space="preserve">графе 2</w:t>
        </w:r>
      </w:hyperlink>
      <w:r>
        <w:rPr>
          <w:sz w:val="24"/>
        </w:rPr>
        <w:t xml:space="preserve"> таблицы N 14 указываются наименования здания и помещения, этажей, на которых расположены системы воздушного отопления и вентиляции;</w:t>
      </w:r>
    </w:p>
    <w:p>
      <w:pPr>
        <w:pStyle w:val="0"/>
        <w:spacing w:before="240" w:lineRule="auto"/>
        <w:ind w:firstLine="540"/>
        <w:jc w:val="both"/>
      </w:pPr>
      <w:hyperlink w:history="0" w:anchor="P932" w:tooltip="3">
        <w:r>
          <w:rPr>
            <w:sz w:val="24"/>
            <w:color w:val="0000ff"/>
          </w:rPr>
          <w:t xml:space="preserve">графы 3</w:t>
        </w:r>
      </w:hyperlink>
      <w:r>
        <w:rPr>
          <w:sz w:val="24"/>
        </w:rPr>
        <w:t xml:space="preserve"> и </w:t>
      </w:r>
      <w:hyperlink w:history="0" w:anchor="P935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таблицы N 14 заполняются в случае, если приточные установки размещены в обслуживаемых помещениях категорий А и Б по пожарной и взрывопожарной опасности с указанием документов (и их реквизитов), подтверждающих взрывозащищенное исполнение таких установок;</w:t>
      </w:r>
    </w:p>
    <w:p>
      <w:pPr>
        <w:pStyle w:val="0"/>
        <w:spacing w:before="240" w:lineRule="auto"/>
        <w:ind w:firstLine="540"/>
        <w:jc w:val="both"/>
      </w:pPr>
      <w:hyperlink w:history="0" w:anchor="P933" w:tooltip="4">
        <w:r>
          <w:rPr>
            <w:sz w:val="24"/>
            <w:color w:val="0000ff"/>
          </w:rPr>
          <w:t xml:space="preserve">графа 4</w:t>
        </w:r>
      </w:hyperlink>
      <w:r>
        <w:rPr>
          <w:sz w:val="24"/>
        </w:rPr>
        <w:t xml:space="preserve"> таблицы N 14 заполняется в случае применения в системах воздушного отопления помещений рециркуляции (возврата) воздуха из аспирационных и пневмотранспортных установок в производственные помещения.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в </w:t>
      </w:r>
      <w:hyperlink w:history="0" w:anchor="P934" w:tooltip="5">
        <w:r>
          <w:rPr>
            <w:sz w:val="24"/>
            <w:color w:val="0000ff"/>
          </w:rPr>
          <w:t xml:space="preserve">графе 5</w:t>
        </w:r>
      </w:hyperlink>
      <w:r>
        <w:rPr>
          <w:sz w:val="24"/>
        </w:rPr>
        <w:t xml:space="preserve"> таблицы N 14 производится соответствующая отметка с указанием мест установки огнепреграждающих устройств, их количества.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выявления неподключения или неисправности установленных в системах воздушного отопления помещений рециркуляции (возврата) воздуха огнепреграждающих устройств в </w:t>
      </w:r>
      <w:hyperlink w:history="0" w:anchor="P936" w:tooltip="7">
        <w:r>
          <w:rPr>
            <w:sz w:val="24"/>
            <w:color w:val="0000ff"/>
          </w:rPr>
          <w:t xml:space="preserve">графе 7</w:t>
        </w:r>
      </w:hyperlink>
      <w:r>
        <w:rPr>
          <w:sz w:val="24"/>
        </w:rPr>
        <w:t xml:space="preserve"> "Примечание" таблицы N 14 делается соответствующая отметка;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935" w:tooltip="6">
        <w:r>
          <w:rPr>
            <w:sz w:val="24"/>
            <w:color w:val="0000ff"/>
          </w:rPr>
          <w:t xml:space="preserve">графе 6</w:t>
        </w:r>
      </w:hyperlink>
      <w:r>
        <w:rPr>
          <w:sz w:val="24"/>
        </w:rPr>
        <w:t xml:space="preserve"> таблицы N 14 сведения о соответствии электрооборудования вентиляционных систем техническим требованиям к безопасности оборудования для работы во взрывоопасных средах (в виде отметки "Соответствует" или "Не соответствует").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в </w:t>
      </w:r>
      <w:hyperlink w:history="0" w:anchor="P936" w:tooltip="7">
        <w:r>
          <w:rPr>
            <w:sz w:val="24"/>
            <w:color w:val="0000ff"/>
          </w:rPr>
          <w:t xml:space="preserve">графе 7</w:t>
        </w:r>
      </w:hyperlink>
      <w:r>
        <w:rPr>
          <w:sz w:val="24"/>
        </w:rPr>
        <w:t xml:space="preserve"> "Примечание" таблицы N 14 приводится информация об электрооборудовании, не соответствующем техническим требованиям к безопасности оборудования для работы во взрывоопасных средах.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Для отражения сведений об оснащенности бункеров для сухой стружки и пыли деревообрабатывающих производств средствами противоаварийной защиты рекомендуется заполнять </w:t>
      </w:r>
      <w:hyperlink w:history="0" w:anchor="P965" w:tooltip="Бункеры деревообрабатывающих производств">
        <w:r>
          <w:rPr>
            <w:sz w:val="24"/>
            <w:color w:val="0000ff"/>
          </w:rPr>
          <w:t xml:space="preserve">таблицу N 15</w:t>
        </w:r>
      </w:hyperlink>
      <w:r>
        <w:rPr>
          <w:sz w:val="24"/>
        </w:rPr>
        <w:t xml:space="preserve">, приведенную в приложении N 15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979" w:tooltip="2">
        <w:r>
          <w:rPr>
            <w:sz w:val="24"/>
            <w:color w:val="0000ff"/>
          </w:rPr>
          <w:t xml:space="preserve">графе 2</w:t>
        </w:r>
      </w:hyperlink>
      <w:r>
        <w:rPr>
          <w:sz w:val="24"/>
        </w:rPr>
        <w:t xml:space="preserve"> таблицы N 15 указываются наименования здания и помещения, где расположены бункеры;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980" w:tooltip="3">
        <w:r>
          <w:rPr>
            <w:sz w:val="24"/>
            <w:color w:val="0000ff"/>
          </w:rPr>
          <w:t xml:space="preserve">графы 3</w:t>
        </w:r>
      </w:hyperlink>
      <w:r>
        <w:rPr>
          <w:sz w:val="24"/>
        </w:rPr>
        <w:t xml:space="preserve">, </w:t>
      </w:r>
      <w:hyperlink w:history="0" w:anchor="P981" w:tooltip="4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, </w:t>
      </w:r>
      <w:hyperlink w:history="0" w:anchor="P982" w:tooltip="5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, </w:t>
      </w:r>
      <w:hyperlink w:history="0" w:anchor="P983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и </w:t>
      </w:r>
      <w:hyperlink w:history="0" w:anchor="P984" w:tooltip="7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таблицы N 15 вносятся сведения о наличии на бункерах для сухой стружки и пыли противовзрывных устройств (клапанов), датчиков-сигнализаторов степени заполнения бункеров, автоматических датчиков сигнализации о возгорании стружки и пыли, устройств для подвода средств пожаротушения внутрь бункеров, а также о подсоединении бункеров к системе аспирации в виде отметки "В наличии" или "Отсутствует";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985" w:tooltip="8">
        <w:r>
          <w:rPr>
            <w:sz w:val="24"/>
            <w:color w:val="0000ff"/>
          </w:rPr>
          <w:t xml:space="preserve">графу 8</w:t>
        </w:r>
      </w:hyperlink>
      <w:r>
        <w:rPr>
          <w:sz w:val="24"/>
        </w:rPr>
        <w:t xml:space="preserve"> таблицы N 15 вносятся сведения о наличии на бункерах для сырой стружки и щепы датчиков, сигнализирующих о степени заполнения в виде отметки "В наличии" или "Отсутствует".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в случае отметки "В наличии" рекомендуется вносить сведения об имеющихся средствах противоаварийной защиты с указанием их наименований, типа (вида);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неподключение и (или) неисправность средств противоаварийной защиты фиксируются в </w:t>
      </w:r>
      <w:hyperlink w:history="0" w:anchor="P986" w:tooltip="9">
        <w:r>
          <w:rPr>
            <w:sz w:val="24"/>
            <w:color w:val="0000ff"/>
          </w:rPr>
          <w:t xml:space="preserve">графе 9</w:t>
        </w:r>
      </w:hyperlink>
      <w:r>
        <w:rPr>
          <w:sz w:val="24"/>
        </w:rPr>
        <w:t xml:space="preserve"> "Примечание" таблицы N 15 как их отсутствие.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Для отражения сведений об оснащенности шнековых затворов деревообрабатывающих производств средствами противоаварийной защиты рекомендуется заполнять </w:t>
      </w:r>
      <w:hyperlink w:history="0" w:anchor="P1017" w:tooltip="Шнековые затворы деревообрабатывающих производств">
        <w:r>
          <w:rPr>
            <w:sz w:val="24"/>
            <w:color w:val="0000ff"/>
          </w:rPr>
          <w:t xml:space="preserve">таблицу N 16</w:t>
        </w:r>
      </w:hyperlink>
      <w:r>
        <w:rPr>
          <w:sz w:val="24"/>
        </w:rPr>
        <w:t xml:space="preserve">, приведенную в приложении N 16 к Руководству;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28" w:tooltip="2">
        <w:r>
          <w:rPr>
            <w:sz w:val="24"/>
            <w:color w:val="0000ff"/>
          </w:rPr>
          <w:t xml:space="preserve">графе 2</w:t>
        </w:r>
      </w:hyperlink>
      <w:r>
        <w:rPr>
          <w:sz w:val="24"/>
        </w:rPr>
        <w:t xml:space="preserve"> таблицы N 16 указываются наименования здания и помещения, где расположены шнековые затворы;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29" w:tooltip="3">
        <w:r>
          <w:rPr>
            <w:sz w:val="24"/>
            <w:color w:val="0000ff"/>
          </w:rPr>
          <w:t xml:space="preserve">графы 3</w:t>
        </w:r>
      </w:hyperlink>
      <w:r>
        <w:rPr>
          <w:sz w:val="24"/>
        </w:rPr>
        <w:t xml:space="preserve">, </w:t>
      </w:r>
      <w:hyperlink w:history="0" w:anchor="P1030" w:tooltip="4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, </w:t>
      </w:r>
      <w:hyperlink w:history="0" w:anchor="P1031" w:tooltip="5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и </w:t>
      </w:r>
      <w:hyperlink w:history="0" w:anchor="P1032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таблицы N 16 вносятся сведения о наличии на шнековых затворах деревообрабатывающих производств противовзрывных устройств (клапанов), датчиков-сигнализаторов возгорания сухой стружки, автоматических устройств для подвода средств пожаротушения внутрь затвора, а также заслонки, препятствующей попаданию искр и других источников пожара в пневмотранспортную систему, следующую за затвором в виде отметки "В наличии" или "Отсутствует".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в случае отметки "В наличии" рекомендуется вносить сведения об имеющихся средствах противоаварийной защиты с указанием их наименований, типа (вида);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неподключение и (или) неисправность средств противоаварийной защиты фиксируются в </w:t>
      </w:r>
      <w:hyperlink w:history="0" w:anchor="P1033" w:tooltip="7">
        <w:r>
          <w:rPr>
            <w:sz w:val="24"/>
            <w:color w:val="0000ff"/>
          </w:rPr>
          <w:t xml:space="preserve">графе 7</w:t>
        </w:r>
      </w:hyperlink>
      <w:r>
        <w:rPr>
          <w:sz w:val="24"/>
        </w:rPr>
        <w:t xml:space="preserve"> "Примечание" таблицы N 16 как их отсутствие.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Для отражения результатов натурных замеров ЛСК, полученных в ходе обследования, проводимого в соответствии с требованиями </w:t>
      </w:r>
      <w:hyperlink w:history="0" r:id="rId33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пункта 757</w:t>
        </w:r>
      </w:hyperlink>
      <w:r>
        <w:rPr>
          <w:sz w:val="24"/>
        </w:rPr>
        <w:t xml:space="preserve"> Федеральных норм и правил, рекомендуется заполнять </w:t>
      </w:r>
      <w:hyperlink w:history="0" w:anchor="P1062" w:tooltip="Результаты натурных замеров легкосбрасываемых конструкций">
        <w:r>
          <w:rPr>
            <w:sz w:val="24"/>
            <w:color w:val="0000ff"/>
          </w:rPr>
          <w:t xml:space="preserve">таблицу N 17</w:t>
        </w:r>
      </w:hyperlink>
      <w:r>
        <w:rPr>
          <w:sz w:val="24"/>
        </w:rPr>
        <w:t xml:space="preserve">, приведенную в приложении N 17 к Руководству: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79" w:tooltip="2">
        <w:r>
          <w:rPr>
            <w:sz w:val="24"/>
            <w:color w:val="0000ff"/>
          </w:rPr>
          <w:t xml:space="preserve">графу 2</w:t>
        </w:r>
      </w:hyperlink>
      <w:r>
        <w:rPr>
          <w:sz w:val="24"/>
        </w:rPr>
        <w:t xml:space="preserve"> таблицы N 17 вносятся наименования зданий, помещений и этажей;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0" w:tooltip="3">
        <w:r>
          <w:rPr>
            <w:sz w:val="24"/>
            <w:color w:val="0000ff"/>
          </w:rPr>
          <w:t xml:space="preserve">графу 3</w:t>
        </w:r>
      </w:hyperlink>
      <w:r>
        <w:rPr>
          <w:sz w:val="24"/>
        </w:rPr>
        <w:t xml:space="preserve"> таблицы N 17 вносятся значения геометрических размеров этажа, 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1" w:tooltip="4">
        <w:r>
          <w:rPr>
            <w:sz w:val="24"/>
            <w:color w:val="0000ff"/>
          </w:rPr>
          <w:t xml:space="preserve">графу 4</w:t>
        </w:r>
      </w:hyperlink>
      <w:r>
        <w:rPr>
          <w:sz w:val="24"/>
        </w:rPr>
        <w:t xml:space="preserve"> таблицы N 17 вносятся значения геометрических объемов помещений,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2" w:tooltip="5">
        <w:r>
          <w:rPr>
            <w:sz w:val="24"/>
            <w:color w:val="0000ff"/>
          </w:rPr>
          <w:t xml:space="preserve">графы 5</w:t>
        </w:r>
      </w:hyperlink>
      <w:r>
        <w:rPr>
          <w:sz w:val="24"/>
        </w:rPr>
        <w:t xml:space="preserve"> и </w:t>
      </w:r>
      <w:hyperlink w:history="0" w:anchor="P1083" w:tooltip="6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таблицы N 17 вносятся значения объемов выступающих строительных конструкций и производственного оборудования, соответственно,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4" w:tooltip="7">
        <w:r>
          <w:rPr>
            <w:sz w:val="24"/>
            <w:color w:val="0000ff"/>
          </w:rPr>
          <w:t xml:space="preserve">графу 7</w:t>
        </w:r>
      </w:hyperlink>
      <w:r>
        <w:rPr>
          <w:sz w:val="24"/>
        </w:rPr>
        <w:t xml:space="preserve"> таблицы N 17 вносятся значения свободного объема помещения,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5" w:tooltip="8">
        <w:r>
          <w:rPr>
            <w:sz w:val="24"/>
            <w:color w:val="0000ff"/>
          </w:rPr>
          <w:t xml:space="preserve">графу 8</w:t>
        </w:r>
      </w:hyperlink>
      <w:r>
        <w:rPr>
          <w:sz w:val="24"/>
        </w:rPr>
        <w:t xml:space="preserve"> таблицы N 17 вносятся значения площади единично оконного стекла,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6" w:tooltip="9">
        <w:r>
          <w:rPr>
            <w:sz w:val="24"/>
            <w:color w:val="0000ff"/>
          </w:rPr>
          <w:t xml:space="preserve">графу 9</w:t>
        </w:r>
      </w:hyperlink>
      <w:r>
        <w:rPr>
          <w:sz w:val="24"/>
        </w:rPr>
        <w:t xml:space="preserve"> таблицы N 17 вносятся значения толщины единичного оконного стекла, мм;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7" w:tooltip="10">
        <w:r>
          <w:rPr>
            <w:sz w:val="24"/>
            <w:color w:val="0000ff"/>
          </w:rPr>
          <w:t xml:space="preserve">графе 10</w:t>
        </w:r>
      </w:hyperlink>
      <w:r>
        <w:rPr>
          <w:sz w:val="24"/>
        </w:rPr>
        <w:t xml:space="preserve"> таблицы N 17 указывается количество ячеек остекления;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8" w:tooltip="11">
        <w:r>
          <w:rPr>
            <w:sz w:val="24"/>
            <w:color w:val="0000ff"/>
          </w:rPr>
          <w:t xml:space="preserve">графе 11</w:t>
        </w:r>
      </w:hyperlink>
      <w:r>
        <w:rPr>
          <w:sz w:val="24"/>
        </w:rPr>
        <w:t xml:space="preserve"> таблицы N 17 указываются величины фактической площади ИСК F</w:t>
      </w:r>
      <w:r>
        <w:rPr>
          <w:sz w:val="24"/>
          <w:vertAlign w:val="subscript"/>
        </w:rPr>
        <w:t xml:space="preserve">ф</w:t>
      </w:r>
      <w:r>
        <w:rPr>
          <w:sz w:val="24"/>
        </w:rPr>
        <w:t xml:space="preserve">,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, вычисление которых рекомендуется производить с точностью до 1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89" w:tooltip="12">
        <w:r>
          <w:rPr>
            <w:sz w:val="24"/>
            <w:color w:val="0000ff"/>
          </w:rPr>
          <w:t xml:space="preserve">графе 12</w:t>
        </w:r>
      </w:hyperlink>
      <w:r>
        <w:rPr>
          <w:sz w:val="24"/>
        </w:rPr>
        <w:t xml:space="preserve"> таблицы N 17 указывается коэффициент сброса K</w:t>
      </w:r>
      <w:r>
        <w:rPr>
          <w:sz w:val="24"/>
          <w:vertAlign w:val="subscript"/>
        </w:rPr>
        <w:t xml:space="preserve">сбр</w:t>
      </w:r>
      <w:r>
        <w:rPr>
          <w:sz w:val="24"/>
        </w:rPr>
        <w:t xml:space="preserve">, принимаемый для производственных помещений категории Б по пожарной и взрывопожарной опасности и лестничных клеток с выходом через тамбур-шлюз 0,03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/м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w:anchor="P1090" w:tooltip="13">
        <w:r>
          <w:rPr>
            <w:sz w:val="24"/>
            <w:color w:val="0000ff"/>
          </w:rPr>
          <w:t xml:space="preserve">графе 13</w:t>
        </w:r>
      </w:hyperlink>
      <w:r>
        <w:rPr>
          <w:sz w:val="24"/>
        </w:rPr>
        <w:t xml:space="preserve"> таблицы N 17 указываются величины минимально допустимой площади ЛСК, 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Прилагаемые к паспорту в соответствии с требованиями </w:t>
      </w:r>
      <w:hyperlink w:history="0" r:id="rId34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пункта 757</w:t>
        </w:r>
      </w:hyperlink>
      <w:r>
        <w:rPr>
          <w:sz w:val="24"/>
        </w:rPr>
        <w:t xml:space="preserve"> Федеральных норм и правил материалы обследований, результаты которых использованы для отражения показателей, характеризующих оснащенность производственных зданий и сооружений, а также транспортных галерей и тоннелей средствами, обеспечивающими противоаварийную защиту объекта, содержащие соответствующие расчеты, рекомендуется указывать в </w:t>
      </w:r>
      <w:hyperlink w:history="0" w:anchor="P1125" w:tooltip="Перечень">
        <w:r>
          <w:rPr>
            <w:sz w:val="24"/>
            <w:color w:val="0000ff"/>
          </w:rPr>
          <w:t xml:space="preserve">таблице N 18</w:t>
        </w:r>
      </w:hyperlink>
      <w:r>
        <w:rPr>
          <w:sz w:val="24"/>
        </w:rPr>
        <w:t xml:space="preserve">, приведенной в приложении N 18 к Руководству.</w:t>
      </w:r>
    </w:p>
    <w:p>
      <w:pPr>
        <w:pStyle w:val="0"/>
        <w:spacing w:before="240" w:lineRule="auto"/>
        <w:ind w:firstLine="540"/>
        <w:jc w:val="both"/>
      </w:pPr>
      <w:hyperlink w:history="0" w:anchor="P1125" w:tooltip="Перечень">
        <w:r>
          <w:rPr>
            <w:sz w:val="24"/>
            <w:color w:val="0000ff"/>
          </w:rPr>
          <w:t xml:space="preserve">Таблица</w:t>
        </w:r>
      </w:hyperlink>
      <w:r>
        <w:rPr>
          <w:sz w:val="24"/>
        </w:rPr>
        <w:t xml:space="preserve"> заполняется перечислением с указанием наименований документов, их реквизитов и количества листов.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Дополнения (изменения) в паспорт, вносимые после подтверждения объективности вносимых сведений (данных) комиссией, создаваемой и действующей на условиях и в соответствии с требованиями </w:t>
      </w:r>
      <w:hyperlink w:history="0" r:id="rId35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<w:r>
          <w:rPr>
            <w:sz w:val="24"/>
            <w:color w:val="0000ff"/>
          </w:rPr>
          <w:t xml:space="preserve">пункта 761</w:t>
        </w:r>
      </w:hyperlink>
      <w:r>
        <w:rPr>
          <w:sz w:val="24"/>
        </w:rPr>
        <w:t xml:space="preserve"> Федеральных норм и правил, рекомендуется оформлять в виде листа регистрации дополнений (изменений) Технического паспорта взрывобезопасности, образец которого приведен в </w:t>
      </w:r>
      <w:hyperlink w:history="0" w:anchor="P1166" w:tooltip="Лист регистрации дополнений (изменений) технического">
        <w:r>
          <w:rPr>
            <w:sz w:val="24"/>
            <w:color w:val="0000ff"/>
          </w:rPr>
          <w:t xml:space="preserve">приложении N 19</w:t>
        </w:r>
      </w:hyperlink>
      <w:r>
        <w:rPr>
          <w:sz w:val="24"/>
        </w:rPr>
        <w:t xml:space="preserve"> к Руководству.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bookmarkStart w:id="238" w:name="P238"/>
    <w:bookmarkEnd w:id="238"/>
    <w:p>
      <w:pPr>
        <w:pStyle w:val="0"/>
        <w:jc w:val="center"/>
      </w:pPr>
      <w:r>
        <w:rPr>
          <w:sz w:val="24"/>
        </w:rPr>
        <w:t xml:space="preserve">Показатели,</w:t>
      </w:r>
    </w:p>
    <w:p>
      <w:pPr>
        <w:pStyle w:val="0"/>
        <w:jc w:val="center"/>
      </w:pPr>
      <w:r>
        <w:rPr>
          <w:sz w:val="24"/>
        </w:rPr>
        <w:t xml:space="preserve">характеризующие взрывобезопасность и противоаварийную</w:t>
      </w:r>
    </w:p>
    <w:p>
      <w:pPr>
        <w:pStyle w:val="0"/>
        <w:jc w:val="center"/>
      </w:pPr>
      <w:r>
        <w:rPr>
          <w:sz w:val="24"/>
        </w:rPr>
        <w:t xml:space="preserve">защиту производственных зданий и сооружений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963"/>
        <w:gridCol w:w="907"/>
        <w:gridCol w:w="964"/>
        <w:gridCol w:w="1020"/>
        <w:gridCol w:w="737"/>
        <w:gridCol w:w="907"/>
        <w:gridCol w:w="964"/>
        <w:gridCol w:w="1191"/>
        <w:gridCol w:w="96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96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помещений, зданий и сооружений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Свободный объем помещения V, м</w:t>
            </w:r>
            <w:r>
              <w:rPr>
                <w:sz w:val="24"/>
                <w:vertAlign w:val="superscript"/>
              </w:rPr>
              <w:t xml:space="preserve">3</w:t>
            </w:r>
          </w:p>
        </w:tc>
        <w:tc>
          <w:tcPr>
            <w:gridSpan w:val="2"/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Площадь ЛСК, м</w:t>
            </w:r>
            <w:r>
              <w:rPr>
                <w:sz w:val="24"/>
                <w:vertAlign w:val="superscript"/>
              </w:rPr>
              <w:t xml:space="preserve">2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Коэффициент (относительный) обеспеченности ЛСК, K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дверных проемов без тамбур-шлюзов, шт.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Нахождение бытовых помещений в производственных зданиях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Размещение бункеров для хранения аспирационных относов, пыли и пылевидных продуктов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Минимально допустимая F</w:t>
            </w:r>
            <w:r>
              <w:rPr>
                <w:sz w:val="24"/>
                <w:vertAlign w:val="subscript"/>
              </w:rPr>
              <w:t xml:space="preserve">доп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Фактическая допустимая F</w:t>
            </w:r>
            <w:r>
              <w:rPr>
                <w:sz w:val="24"/>
                <w:vertAlign w:val="subscript"/>
              </w:rPr>
              <w:t xml:space="preserve">ф</w:t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3" w:type="dxa"/>
          </w:tcPr>
          <w:bookmarkStart w:id="256" w:name="P256"/>
          <w:bookmarkEnd w:id="256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7" w:type="dxa"/>
          </w:tcPr>
          <w:bookmarkStart w:id="257" w:name="P257"/>
          <w:bookmarkEnd w:id="257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64" w:type="dxa"/>
          </w:tcPr>
          <w:bookmarkStart w:id="258" w:name="P258"/>
          <w:bookmarkEnd w:id="258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20" w:type="dxa"/>
          </w:tcPr>
          <w:bookmarkStart w:id="259" w:name="P259"/>
          <w:bookmarkEnd w:id="259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737" w:type="dxa"/>
          </w:tcPr>
          <w:bookmarkStart w:id="260" w:name="P260"/>
          <w:bookmarkEnd w:id="260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907" w:type="dxa"/>
          </w:tcPr>
          <w:bookmarkStart w:id="261" w:name="P261"/>
          <w:bookmarkEnd w:id="261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964" w:type="dxa"/>
          </w:tcPr>
          <w:bookmarkStart w:id="262" w:name="P262"/>
          <w:bookmarkEnd w:id="262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91" w:type="dxa"/>
          </w:tcPr>
          <w:bookmarkStart w:id="263" w:name="P263"/>
          <w:bookmarkEnd w:id="263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964" w:type="dxa"/>
          </w:tcPr>
          <w:bookmarkStart w:id="264" w:name="P264"/>
          <w:bookmarkEnd w:id="264"/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bookmarkStart w:id="296" w:name="P296"/>
    <w:bookmarkEnd w:id="296"/>
    <w:p>
      <w:pPr>
        <w:pStyle w:val="0"/>
        <w:jc w:val="center"/>
      </w:pPr>
      <w:r>
        <w:rPr>
          <w:sz w:val="24"/>
        </w:rPr>
        <w:t xml:space="preserve">Транспортные галереи и тоннели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701"/>
        <w:gridCol w:w="737"/>
        <w:gridCol w:w="794"/>
        <w:gridCol w:w="1134"/>
        <w:gridCol w:w="1134"/>
        <w:gridCol w:w="2268"/>
        <w:gridCol w:w="849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сооружений и зданий, связываемых галереями или тоннелями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Длина, м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Объем, м</w:t>
            </w:r>
            <w:r>
              <w:rPr>
                <w:sz w:val="24"/>
                <w:vertAlign w:val="superscript"/>
              </w:rPr>
              <w:t xml:space="preserve">3</w:t>
            </w:r>
          </w:p>
        </w:tc>
        <w:tc>
          <w:tcPr>
            <w:gridSpan w:val="2"/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Площадь легкосбрасываемых ограждающих конструкций, м</w:t>
            </w:r>
            <w:r>
              <w:rPr>
                <w:sz w:val="24"/>
                <w:vertAlign w:val="superscript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Коэффициент (относительный) обеспеченности ЛСК</w:t>
            </w:r>
          </w:p>
        </w:tc>
        <w:tc>
          <w:tcPr>
            <w:tcW w:w="84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Минимально допустимая F</w:t>
            </w:r>
            <w:r>
              <w:rPr>
                <w:sz w:val="24"/>
                <w:vertAlign w:val="subscript"/>
              </w:rPr>
              <w:t xml:space="preserve">доп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Фактическая F</w:t>
            </w:r>
            <w:r>
              <w:rPr>
                <w:sz w:val="24"/>
                <w:vertAlign w:val="subscript"/>
              </w:rPr>
              <w:t xml:space="preserve">ф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position w:val="-6"/>
              </w:rPr>
              <w:drawing>
                <wp:inline distT="0" distB="0" distL="0" distR="0">
                  <wp:extent cx="1361440" cy="23622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44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</w:tcPr>
          <w:bookmarkStart w:id="309" w:name="P309"/>
          <w:bookmarkEnd w:id="309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</w:tcPr>
          <w:bookmarkStart w:id="310" w:name="P310"/>
          <w:bookmarkEnd w:id="310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94" w:type="dxa"/>
          </w:tcPr>
          <w:bookmarkStart w:id="311" w:name="P311"/>
          <w:bookmarkEnd w:id="311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4" w:type="dxa"/>
          </w:tcPr>
          <w:bookmarkStart w:id="312" w:name="P312"/>
          <w:bookmarkEnd w:id="312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34" w:type="dxa"/>
          </w:tcPr>
          <w:bookmarkStart w:id="313" w:name="P313"/>
          <w:bookmarkEnd w:id="313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268" w:type="dxa"/>
          </w:tcPr>
          <w:bookmarkStart w:id="314" w:name="P314"/>
          <w:bookmarkEnd w:id="314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49" w:type="dxa"/>
          </w:tcPr>
          <w:bookmarkStart w:id="315" w:name="P315"/>
          <w:bookmarkEnd w:id="315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3</w:t>
      </w:r>
    </w:p>
    <w:p>
      <w:pPr>
        <w:pStyle w:val="0"/>
        <w:jc w:val="both"/>
      </w:pPr>
      <w:r>
        <w:rPr>
          <w:sz w:val="24"/>
        </w:rPr>
      </w:r>
    </w:p>
    <w:bookmarkStart w:id="345" w:name="P345"/>
    <w:bookmarkEnd w:id="345"/>
    <w:p>
      <w:pPr>
        <w:pStyle w:val="0"/>
        <w:jc w:val="center"/>
      </w:pPr>
      <w:r>
        <w:rPr>
          <w:sz w:val="24"/>
        </w:rPr>
        <w:t xml:space="preserve">Нории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020"/>
        <w:gridCol w:w="794"/>
        <w:gridCol w:w="737"/>
        <w:gridCol w:w="964"/>
        <w:gridCol w:w="794"/>
        <w:gridCol w:w="794"/>
        <w:gridCol w:w="680"/>
        <w:gridCol w:w="737"/>
        <w:gridCol w:w="1134"/>
        <w:gridCol w:w="96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помещений, тип нории и ее номер по технологической схеме, высота (м)</w:t>
            </w:r>
          </w:p>
        </w:tc>
        <w:tc>
          <w:tcPr>
            <w:gridSpan w:val="2"/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Нории, проходящие через бункеры, силосы, шахты</w:t>
            </w:r>
          </w:p>
        </w:tc>
        <w:tc>
          <w:tcPr>
            <w:gridSpan w:val="2"/>
            <w:tcW w:w="17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Оснащенность взрыворазрядителями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устройств контроля сбегания ленты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РКС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датчиков подпора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автоматически действующих тормозных устройств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прохождения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защите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шт.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Места установки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20" w:type="dxa"/>
          </w:tcPr>
          <w:bookmarkStart w:id="362" w:name="P362"/>
          <w:bookmarkEnd w:id="362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94" w:type="dxa"/>
          </w:tcPr>
          <w:bookmarkStart w:id="363" w:name="P363"/>
          <w:bookmarkEnd w:id="363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37" w:type="dxa"/>
          </w:tcPr>
          <w:bookmarkStart w:id="364" w:name="P364"/>
          <w:bookmarkEnd w:id="364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64" w:type="dxa"/>
          </w:tcPr>
          <w:bookmarkStart w:id="365" w:name="P365"/>
          <w:bookmarkEnd w:id="365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794" w:type="dxa"/>
          </w:tcPr>
          <w:bookmarkStart w:id="366" w:name="P366"/>
          <w:bookmarkEnd w:id="366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794" w:type="dxa"/>
          </w:tcPr>
          <w:bookmarkStart w:id="367" w:name="P367"/>
          <w:bookmarkEnd w:id="367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80" w:type="dxa"/>
          </w:tcPr>
          <w:bookmarkStart w:id="368" w:name="P368"/>
          <w:bookmarkEnd w:id="368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737" w:type="dxa"/>
          </w:tcPr>
          <w:bookmarkStart w:id="369" w:name="P369"/>
          <w:bookmarkEnd w:id="369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134" w:type="dxa"/>
          </w:tcPr>
          <w:bookmarkStart w:id="370" w:name="P370"/>
          <w:bookmarkEnd w:id="370"/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964" w:type="dxa"/>
          </w:tcPr>
          <w:bookmarkStart w:id="371" w:name="P371"/>
          <w:bookmarkEnd w:id="371"/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4</w:t>
      </w:r>
    </w:p>
    <w:p>
      <w:pPr>
        <w:pStyle w:val="0"/>
        <w:jc w:val="both"/>
      </w:pPr>
      <w:r>
        <w:rPr>
          <w:sz w:val="24"/>
        </w:rPr>
      </w:r>
    </w:p>
    <w:bookmarkStart w:id="404" w:name="P404"/>
    <w:bookmarkEnd w:id="404"/>
    <w:p>
      <w:pPr>
        <w:pStyle w:val="0"/>
        <w:jc w:val="center"/>
      </w:pPr>
      <w:r>
        <w:rPr>
          <w:sz w:val="24"/>
        </w:rPr>
        <w:t xml:space="preserve">Стационарные ленточные конвейеры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757"/>
        <w:gridCol w:w="1077"/>
        <w:gridCol w:w="2268"/>
        <w:gridCol w:w="2494"/>
        <w:gridCol w:w="96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зданий и сооружений, тип конвейера и его номер по технологической схеме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РКС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устройств для очистки холостой ветви и натяжного устройства ленты стационарного конвейера для сыпучих грузов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конечных выключателей и упор на трассах конвейеров с передвижными загрузочными или разгрузочными устройствами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57" w:type="dxa"/>
          </w:tcPr>
          <w:bookmarkStart w:id="413" w:name="P413"/>
          <w:bookmarkEnd w:id="413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077" w:type="dxa"/>
          </w:tcPr>
          <w:bookmarkStart w:id="414" w:name="P414"/>
          <w:bookmarkEnd w:id="414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268" w:type="dxa"/>
          </w:tcPr>
          <w:bookmarkStart w:id="415" w:name="P415"/>
          <w:bookmarkEnd w:id="415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2494" w:type="dxa"/>
          </w:tcPr>
          <w:bookmarkStart w:id="416" w:name="P416"/>
          <w:bookmarkEnd w:id="416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64" w:type="dxa"/>
          </w:tcPr>
          <w:bookmarkStart w:id="417" w:name="P417"/>
          <w:bookmarkEnd w:id="417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5</w:t>
      </w:r>
    </w:p>
    <w:p>
      <w:pPr>
        <w:pStyle w:val="0"/>
        <w:jc w:val="both"/>
      </w:pPr>
      <w:r>
        <w:rPr>
          <w:sz w:val="24"/>
        </w:rPr>
      </w:r>
    </w:p>
    <w:bookmarkStart w:id="445" w:name="P445"/>
    <w:bookmarkEnd w:id="445"/>
    <w:p>
      <w:pPr>
        <w:pStyle w:val="0"/>
        <w:jc w:val="center"/>
      </w:pPr>
      <w:r>
        <w:rPr>
          <w:sz w:val="24"/>
        </w:rPr>
        <w:t xml:space="preserve">Цепные скребковые и винтовые конвейеры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701"/>
        <w:gridCol w:w="1757"/>
        <w:gridCol w:w="1531"/>
        <w:gridCol w:w="850"/>
        <w:gridCol w:w="964"/>
        <w:gridCol w:w="850"/>
        <w:gridCol w:w="96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70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здания и помещения, тип конвейера и его номер по технологической схеме</w:t>
            </w:r>
          </w:p>
        </w:tc>
        <w:tc>
          <w:tcPr>
            <w:gridSpan w:val="5"/>
            <w:tcW w:w="59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устройств контроля работы конвейера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Сливные самотеки в бункеры и силосы, оснащенные датчиками верхнего уровня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Предохранительные клапаны с концевыми выключателями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Датчики подпора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Устройства контроля обрыва цепи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Другие устройства</w:t>
            </w:r>
          </w:p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</w:tcPr>
          <w:bookmarkStart w:id="457" w:name="P457"/>
          <w:bookmarkEnd w:id="457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57" w:type="dxa"/>
          </w:tcPr>
          <w:bookmarkStart w:id="458" w:name="P458"/>
          <w:bookmarkEnd w:id="458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531" w:type="dxa"/>
          </w:tcPr>
          <w:bookmarkStart w:id="459" w:name="P459"/>
          <w:bookmarkEnd w:id="459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50" w:type="dxa"/>
          </w:tcPr>
          <w:bookmarkStart w:id="460" w:name="P460"/>
          <w:bookmarkEnd w:id="460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64" w:type="dxa"/>
          </w:tcPr>
          <w:bookmarkStart w:id="461" w:name="P461"/>
          <w:bookmarkEnd w:id="461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50" w:type="dxa"/>
          </w:tcPr>
          <w:bookmarkStart w:id="462" w:name="P462"/>
          <w:bookmarkEnd w:id="462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964" w:type="dxa"/>
          </w:tcPr>
          <w:bookmarkStart w:id="463" w:name="P463"/>
          <w:bookmarkEnd w:id="463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6</w:t>
      </w:r>
    </w:p>
    <w:p>
      <w:pPr>
        <w:pStyle w:val="0"/>
        <w:jc w:val="both"/>
      </w:pPr>
      <w:r>
        <w:rPr>
          <w:sz w:val="24"/>
        </w:rPr>
      </w:r>
    </w:p>
    <w:bookmarkStart w:id="493" w:name="P493"/>
    <w:bookmarkEnd w:id="493"/>
    <w:p>
      <w:pPr>
        <w:pStyle w:val="0"/>
        <w:jc w:val="center"/>
      </w:pPr>
      <w:r>
        <w:rPr>
          <w:sz w:val="24"/>
        </w:rPr>
        <w:t xml:space="preserve">Дробилки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1304"/>
        <w:gridCol w:w="1191"/>
        <w:gridCol w:w="1417"/>
        <w:gridCol w:w="1247"/>
        <w:gridCol w:w="1191"/>
        <w:gridCol w:w="1361"/>
        <w:gridCol w:w="964"/>
      </w:tblGrid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здания и помещения, тип дробилки и ее номер по технологической схеме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взрыворазрядителя и место его установки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Отклонения от нормативных требований к устройству и установке взрыворазрядителей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устройства для автоматического регулирования загрузки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устройств дистанционного автоматического контроля температуры подшипников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Блокировка электроприводов с датчиками нижнего уровня наддробильных бункеров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</w:tcPr>
          <w:bookmarkStart w:id="504" w:name="P504"/>
          <w:bookmarkEnd w:id="504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91" w:type="dxa"/>
          </w:tcPr>
          <w:bookmarkStart w:id="505" w:name="P505"/>
          <w:bookmarkEnd w:id="505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</w:tcPr>
          <w:bookmarkStart w:id="506" w:name="P506"/>
          <w:bookmarkEnd w:id="506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247" w:type="dxa"/>
          </w:tcPr>
          <w:bookmarkStart w:id="507" w:name="P507"/>
          <w:bookmarkEnd w:id="507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91" w:type="dxa"/>
          </w:tcPr>
          <w:bookmarkStart w:id="508" w:name="P508"/>
          <w:bookmarkEnd w:id="508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361" w:type="dxa"/>
          </w:tcPr>
          <w:bookmarkStart w:id="509" w:name="P509"/>
          <w:bookmarkEnd w:id="509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964" w:type="dxa"/>
          </w:tcPr>
          <w:bookmarkStart w:id="510" w:name="P510"/>
          <w:bookmarkEnd w:id="510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7</w:t>
      </w:r>
    </w:p>
    <w:p>
      <w:pPr>
        <w:pStyle w:val="0"/>
        <w:jc w:val="both"/>
      </w:pPr>
      <w:r>
        <w:rPr>
          <w:sz w:val="24"/>
        </w:rPr>
      </w:r>
    </w:p>
    <w:bookmarkStart w:id="540" w:name="P540"/>
    <w:bookmarkEnd w:id="540"/>
    <w:p>
      <w:pPr>
        <w:pStyle w:val="0"/>
        <w:jc w:val="center"/>
      </w:pPr>
      <w:r>
        <w:rPr>
          <w:sz w:val="24"/>
        </w:rPr>
        <w:t xml:space="preserve">Магнитная защита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360"/>
        <w:gridCol w:w="680"/>
        <w:gridCol w:w="908"/>
        <w:gridCol w:w="1020"/>
        <w:gridCol w:w="1247"/>
        <w:gridCol w:w="794"/>
        <w:gridCol w:w="624"/>
        <w:gridCol w:w="1020"/>
        <w:gridCol w:w="96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3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здания, помещения (этажа). Наименования, тип и номер оборудования, перед которым устанавливается магнитная защита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 магнитной защиты</w:t>
            </w:r>
          </w:p>
        </w:tc>
        <w:tc>
          <w:tcPr>
            <w:tcW w:w="90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Номинальная производительность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Максимальная пропускная способность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эффективности очистки (извлечения металломагнитных примесей)</w:t>
            </w:r>
          </w:p>
        </w:tc>
        <w:tc>
          <w:tcPr>
            <w:gridSpan w:val="2"/>
            <w:tcW w:w="14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величины магнитной индукции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Отклонение,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+ %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- %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нормативная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0" w:type="dxa"/>
          </w:tcPr>
          <w:bookmarkStart w:id="556" w:name="P556"/>
          <w:bookmarkEnd w:id="556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</w:tcPr>
          <w:bookmarkStart w:id="557" w:name="P557"/>
          <w:bookmarkEnd w:id="557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08" w:type="dxa"/>
          </w:tcPr>
          <w:bookmarkStart w:id="558" w:name="P558"/>
          <w:bookmarkEnd w:id="558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20" w:type="dxa"/>
          </w:tcPr>
          <w:bookmarkStart w:id="559" w:name="P559"/>
          <w:bookmarkEnd w:id="559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7" w:type="dxa"/>
          </w:tcPr>
          <w:bookmarkStart w:id="560" w:name="P560"/>
          <w:bookmarkEnd w:id="560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794" w:type="dxa"/>
          </w:tcPr>
          <w:bookmarkStart w:id="561" w:name="P561"/>
          <w:bookmarkEnd w:id="561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24" w:type="dxa"/>
          </w:tcPr>
          <w:bookmarkStart w:id="562" w:name="P562"/>
          <w:bookmarkEnd w:id="562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020" w:type="dxa"/>
          </w:tcPr>
          <w:bookmarkStart w:id="563" w:name="P563"/>
          <w:bookmarkEnd w:id="563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964" w:type="dxa"/>
          </w:tcPr>
          <w:bookmarkStart w:id="564" w:name="P564"/>
          <w:bookmarkEnd w:id="564"/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3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8</w:t>
      </w:r>
    </w:p>
    <w:p>
      <w:pPr>
        <w:pStyle w:val="0"/>
        <w:jc w:val="both"/>
      </w:pPr>
      <w:r>
        <w:rPr>
          <w:sz w:val="24"/>
        </w:rPr>
      </w:r>
    </w:p>
    <w:bookmarkStart w:id="596" w:name="P596"/>
    <w:bookmarkEnd w:id="596"/>
    <w:p>
      <w:pPr>
        <w:pStyle w:val="0"/>
        <w:jc w:val="center"/>
      </w:pPr>
      <w:r>
        <w:rPr>
          <w:sz w:val="24"/>
        </w:rPr>
        <w:t xml:space="preserve">Устройства дистанционного контроля температуры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381"/>
        <w:gridCol w:w="1417"/>
        <w:gridCol w:w="1361"/>
        <w:gridCol w:w="567"/>
        <w:gridCol w:w="964"/>
        <w:gridCol w:w="907"/>
        <w:gridCol w:w="96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38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объекта, силоса, бункера, склада, которые подлежат оборудованию устройствами дистанционного контроля температуры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 (вид, марка) устройства дистанционного контроля температуры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метрологическом обеспечении</w:t>
            </w:r>
          </w:p>
        </w:tc>
        <w:tc>
          <w:tcPr>
            <w:gridSpan w:val="3"/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силосов, бункеров и складов, подлежащих оснащению термоподвесками, шт.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оснащенных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требующих оснащения</w:t>
            </w:r>
          </w:p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381" w:type="dxa"/>
          </w:tcPr>
          <w:bookmarkStart w:id="608" w:name="P608"/>
          <w:bookmarkEnd w:id="608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</w:tcPr>
          <w:bookmarkStart w:id="609" w:name="P609"/>
          <w:bookmarkEnd w:id="609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361" w:type="dxa"/>
          </w:tcPr>
          <w:bookmarkStart w:id="610" w:name="P610"/>
          <w:bookmarkEnd w:id="610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67" w:type="dxa"/>
          </w:tcPr>
          <w:bookmarkStart w:id="611" w:name="P611"/>
          <w:bookmarkEnd w:id="611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64" w:type="dxa"/>
          </w:tcPr>
          <w:bookmarkStart w:id="612" w:name="P612"/>
          <w:bookmarkEnd w:id="612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907" w:type="dxa"/>
          </w:tcPr>
          <w:bookmarkStart w:id="613" w:name="P613"/>
          <w:bookmarkEnd w:id="613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964" w:type="dxa"/>
          </w:tcPr>
          <w:bookmarkStart w:id="614" w:name="P614"/>
          <w:bookmarkEnd w:id="614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9</w:t>
      </w:r>
    </w:p>
    <w:p>
      <w:pPr>
        <w:pStyle w:val="0"/>
        <w:jc w:val="both"/>
      </w:pPr>
      <w:r>
        <w:rPr>
          <w:sz w:val="24"/>
        </w:rPr>
      </w:r>
    </w:p>
    <w:bookmarkStart w:id="644" w:name="P644"/>
    <w:bookmarkEnd w:id="644"/>
    <w:p>
      <w:pPr>
        <w:pStyle w:val="0"/>
        <w:jc w:val="center"/>
      </w:pPr>
      <w:r>
        <w:rPr>
          <w:sz w:val="24"/>
        </w:rPr>
        <w:t xml:space="preserve">Аспирационные и пневмотранспортные установки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2324"/>
        <w:gridCol w:w="5272"/>
        <w:gridCol w:w="1020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здания, сооружения и помещения.</w:t>
            </w:r>
          </w:p>
        </w:tc>
        <w:tc>
          <w:tcPr>
            <w:tcW w:w="52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аспирационной и пневмотранспортной установки, а также сведения об отсутствии (наличии) паспортов на аспирационные и пневмотранспортные установки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324" w:type="dxa"/>
          </w:tcPr>
          <w:bookmarkStart w:id="652" w:name="P652"/>
          <w:bookmarkEnd w:id="652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272" w:type="dxa"/>
          </w:tcPr>
          <w:bookmarkStart w:id="653" w:name="P653"/>
          <w:bookmarkEnd w:id="653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020" w:type="dxa"/>
          </w:tcPr>
          <w:bookmarkStart w:id="654" w:name="P654"/>
          <w:bookmarkEnd w:id="654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27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10</w:t>
      </w:r>
    </w:p>
    <w:p>
      <w:pPr>
        <w:pStyle w:val="0"/>
        <w:jc w:val="both"/>
      </w:pPr>
      <w:r>
        <w:rPr>
          <w:sz w:val="24"/>
        </w:rPr>
      </w:r>
    </w:p>
    <w:bookmarkStart w:id="680" w:name="P680"/>
    <w:bookmarkEnd w:id="680"/>
    <w:p>
      <w:pPr>
        <w:pStyle w:val="0"/>
        <w:jc w:val="center"/>
      </w:pPr>
      <w:r>
        <w:rPr>
          <w:sz w:val="24"/>
        </w:rPr>
        <w:t xml:space="preserve">Сушилки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794"/>
        <w:gridCol w:w="736"/>
        <w:gridCol w:w="794"/>
        <w:gridCol w:w="624"/>
        <w:gridCol w:w="907"/>
        <w:gridCol w:w="688"/>
        <w:gridCol w:w="794"/>
        <w:gridCol w:w="582"/>
        <w:gridCol w:w="794"/>
        <w:gridCol w:w="582"/>
        <w:gridCol w:w="688"/>
        <w:gridCol w:w="737"/>
        <w:gridCol w:w="1020"/>
        <w:gridCol w:w="1191"/>
        <w:gridCol w:w="1313"/>
        <w:gridCol w:w="907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 сушилки, ее порядковый номер</w:t>
            </w:r>
          </w:p>
        </w:tc>
        <w:tc>
          <w:tcPr>
            <w:gridSpan w:val="4"/>
            <w:tcW w:w="3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систем автоматического контроля зерносушилок за</w:t>
            </w:r>
          </w:p>
        </w:tc>
        <w:tc>
          <w:tcPr>
            <w:gridSpan w:val="7"/>
            <w:tcW w:w="48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Оснащение зерносушилок взрыворазрядителями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Размещение вентиляторов и пылеуловителей зерносушилок в рабочих зданиях элеваторов</w:t>
            </w:r>
          </w:p>
        </w:tc>
        <w:tc>
          <w:tcPr>
            <w:gridSpan w:val="2"/>
            <w:tcW w:w="25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Сушильные агрегаты (деревообрабатывающее производство)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Температурой нагрева зерна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Температурой агента сушки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Работой топки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Датчиками уровня зерна в тепловлагообменниках</w:t>
            </w:r>
          </w:p>
        </w:tc>
        <w:tc>
          <w:tcPr>
            <w:tcW w:w="6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камерах нагрева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подогревателях</w:t>
            </w:r>
          </w:p>
        </w:tc>
        <w:tc>
          <w:tcPr>
            <w:tcW w:w="5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каскадных нагревателях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осадочных камерах</w:t>
            </w:r>
          </w:p>
        </w:tc>
        <w:tc>
          <w:tcPr>
            <w:tcW w:w="5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надсушильных бункерах</w:t>
            </w:r>
          </w:p>
        </w:tc>
        <w:tc>
          <w:tcPr>
            <w:tcW w:w="6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нориях, обслуживающих зерносушилки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пространстве топок</w:t>
            </w:r>
          </w:p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автоматических устройств для ликвидации очагов загорания стружки внутри; агрегата</w:t>
            </w:r>
          </w:p>
        </w:tc>
        <w:tc>
          <w:tcPr>
            <w:tcW w:w="13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автоматических приборов (механизмов), обеспечивающих сброс критической температуры</w:t>
            </w:r>
          </w:p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94" w:type="dxa"/>
          </w:tcPr>
          <w:bookmarkStart w:id="703" w:name="P703"/>
          <w:bookmarkEnd w:id="703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6" w:type="dxa"/>
          </w:tcPr>
          <w:bookmarkStart w:id="704" w:name="P704"/>
          <w:bookmarkEnd w:id="704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94" w:type="dxa"/>
          </w:tcPr>
          <w:bookmarkStart w:id="705" w:name="P705"/>
          <w:bookmarkEnd w:id="705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24" w:type="dxa"/>
          </w:tcPr>
          <w:bookmarkStart w:id="706" w:name="P706"/>
          <w:bookmarkEnd w:id="706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07" w:type="dxa"/>
          </w:tcPr>
          <w:bookmarkStart w:id="707" w:name="P707"/>
          <w:bookmarkEnd w:id="707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88" w:type="dxa"/>
          </w:tcPr>
          <w:bookmarkStart w:id="708" w:name="P708"/>
          <w:bookmarkEnd w:id="708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794" w:type="dxa"/>
          </w:tcPr>
          <w:bookmarkStart w:id="709" w:name="P709"/>
          <w:bookmarkEnd w:id="709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582" w:type="dxa"/>
          </w:tcPr>
          <w:bookmarkStart w:id="710" w:name="P710"/>
          <w:bookmarkEnd w:id="710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794" w:type="dxa"/>
          </w:tcPr>
          <w:bookmarkStart w:id="711" w:name="P711"/>
          <w:bookmarkEnd w:id="711"/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82" w:type="dxa"/>
          </w:tcPr>
          <w:bookmarkStart w:id="712" w:name="P712"/>
          <w:bookmarkEnd w:id="712"/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688" w:type="dxa"/>
          </w:tcPr>
          <w:bookmarkStart w:id="713" w:name="P713"/>
          <w:bookmarkEnd w:id="713"/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737" w:type="dxa"/>
          </w:tcPr>
          <w:bookmarkStart w:id="714" w:name="P714"/>
          <w:bookmarkEnd w:id="714"/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020" w:type="dxa"/>
          </w:tcPr>
          <w:bookmarkStart w:id="715" w:name="P715"/>
          <w:bookmarkEnd w:id="715"/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191" w:type="dxa"/>
          </w:tcPr>
          <w:bookmarkStart w:id="716" w:name="P716"/>
          <w:bookmarkEnd w:id="716"/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313" w:type="dxa"/>
          </w:tcPr>
          <w:bookmarkStart w:id="717" w:name="P717"/>
          <w:bookmarkEnd w:id="717"/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907" w:type="dxa"/>
          </w:tcPr>
          <w:bookmarkStart w:id="718" w:name="P718"/>
          <w:bookmarkEnd w:id="718"/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1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37"/>
          <w:headerReference w:type="first" r:id="rId37"/>
          <w:footerReference w:type="default" r:id="rId38"/>
          <w:footerReference w:type="first" r:id="rId38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11</w:t>
      </w:r>
    </w:p>
    <w:p>
      <w:pPr>
        <w:pStyle w:val="0"/>
        <w:jc w:val="both"/>
      </w:pPr>
      <w:r>
        <w:rPr>
          <w:sz w:val="24"/>
        </w:rPr>
      </w:r>
    </w:p>
    <w:bookmarkStart w:id="757" w:name="P757"/>
    <w:bookmarkEnd w:id="757"/>
    <w:p>
      <w:pPr>
        <w:pStyle w:val="0"/>
        <w:jc w:val="center"/>
      </w:pPr>
      <w:r>
        <w:rPr>
          <w:sz w:val="24"/>
        </w:rPr>
        <w:t xml:space="preserve">Жомосушильные установки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80"/>
        <w:gridCol w:w="1077"/>
        <w:gridCol w:w="1077"/>
        <w:gridCol w:w="680"/>
        <w:gridCol w:w="907"/>
        <w:gridCol w:w="1191"/>
        <w:gridCol w:w="510"/>
        <w:gridCol w:w="1474"/>
        <w:gridCol w:w="96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 сушилки, ее порядковый номер</w:t>
            </w:r>
          </w:p>
        </w:tc>
        <w:tc>
          <w:tcPr>
            <w:gridSpan w:val="3"/>
            <w:tcW w:w="28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систем автоматического контроля жомосушилки за</w:t>
            </w:r>
          </w:p>
        </w:tc>
        <w:tc>
          <w:tcPr>
            <w:gridSpan w:val="3"/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противоаварийных устройств (взрывных, предупредительных клапанов) и блокировки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пылеулавливающих устройств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температурой нагрева жома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температурой агента сушки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работой топки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топочных камерах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трубопроводах</w:t>
            </w:r>
          </w:p>
        </w:tc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иное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</w:tcPr>
          <w:bookmarkStart w:id="772" w:name="P772"/>
          <w:bookmarkEnd w:id="772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077" w:type="dxa"/>
          </w:tcPr>
          <w:bookmarkStart w:id="773" w:name="P773"/>
          <w:bookmarkEnd w:id="773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077" w:type="dxa"/>
          </w:tcPr>
          <w:bookmarkStart w:id="774" w:name="P774"/>
          <w:bookmarkEnd w:id="774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</w:tcPr>
          <w:bookmarkStart w:id="775" w:name="P775"/>
          <w:bookmarkEnd w:id="775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07" w:type="dxa"/>
          </w:tcPr>
          <w:bookmarkStart w:id="776" w:name="P776"/>
          <w:bookmarkEnd w:id="776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91" w:type="dxa"/>
          </w:tcPr>
          <w:bookmarkStart w:id="777" w:name="P777"/>
          <w:bookmarkEnd w:id="777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510" w:type="dxa"/>
          </w:tcPr>
          <w:bookmarkStart w:id="778" w:name="P778"/>
          <w:bookmarkEnd w:id="778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74" w:type="dxa"/>
          </w:tcPr>
          <w:bookmarkStart w:id="779" w:name="P779"/>
          <w:bookmarkEnd w:id="779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964" w:type="dxa"/>
          </w:tcPr>
          <w:bookmarkStart w:id="780" w:name="P780"/>
          <w:bookmarkEnd w:id="780"/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12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12</w:t>
      </w:r>
    </w:p>
    <w:p>
      <w:pPr>
        <w:pStyle w:val="0"/>
        <w:jc w:val="both"/>
      </w:pPr>
      <w:r>
        <w:rPr>
          <w:sz w:val="24"/>
        </w:rPr>
      </w:r>
    </w:p>
    <w:bookmarkStart w:id="812" w:name="P812"/>
    <w:bookmarkEnd w:id="812"/>
    <w:p>
      <w:pPr>
        <w:pStyle w:val="0"/>
        <w:jc w:val="center"/>
      </w:pPr>
      <w:r>
        <w:rPr>
          <w:sz w:val="24"/>
        </w:rPr>
        <w:t xml:space="preserve">Системы локализации взрыва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1417"/>
        <w:gridCol w:w="1473"/>
        <w:gridCol w:w="964"/>
        <w:gridCol w:w="964"/>
        <w:gridCol w:w="964"/>
        <w:gridCol w:w="1077"/>
        <w:gridCol w:w="907"/>
        <w:gridCol w:w="907"/>
      </w:tblGrid>
      <w:tr>
        <w:tc>
          <w:tcPr>
            <w:tcW w:w="39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зданий и помещений. Места установки огнепреграждающих (пламеотсекающих) устройств, управляющих датчиков и взрыворазрядителей</w:t>
            </w:r>
          </w:p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огнепреграждающих (пламеотсекающих) устройств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управляющих датчиков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взрыворазрядителей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дистанционного автоматизированного управления, блокировки и контроля за работой системы локализации взрыва</w:t>
            </w:r>
          </w:p>
        </w:tc>
        <w:tc>
          <w:tcPr>
            <w:gridSpan w:val="2"/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выведенных взрыворазрядителей в производственное помещение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</w:t>
            </w:r>
          </w:p>
        </w:tc>
        <w:tc>
          <w:tcPr>
            <w:vMerge w:val="continue"/>
          </w:tcPr>
          <w:p/>
        </w:tc>
        <w:tc>
          <w:tcPr>
            <w:gridSpan w:val="2"/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 наличии на них исправных огнепреграждающих (пламеотсекающих) устройств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без огнепреграждающих (пламеотсекающих) устройств</w:t>
            </w:r>
          </w:p>
        </w:tc>
        <w:tc>
          <w:tcPr>
            <w:vMerge w:val="continue"/>
          </w:tcPr>
          <w:p/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</w:tcPr>
          <w:bookmarkStart w:id="831" w:name="P831"/>
          <w:bookmarkEnd w:id="831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73" w:type="dxa"/>
          </w:tcPr>
          <w:bookmarkStart w:id="832" w:name="P832"/>
          <w:bookmarkEnd w:id="832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64" w:type="dxa"/>
          </w:tcPr>
          <w:bookmarkStart w:id="833" w:name="P833"/>
          <w:bookmarkEnd w:id="833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64" w:type="dxa"/>
          </w:tcPr>
          <w:bookmarkStart w:id="834" w:name="P834"/>
          <w:bookmarkEnd w:id="834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64" w:type="dxa"/>
          </w:tcPr>
          <w:bookmarkStart w:id="835" w:name="P835"/>
          <w:bookmarkEnd w:id="835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77" w:type="dxa"/>
          </w:tcPr>
          <w:bookmarkStart w:id="836" w:name="P836"/>
          <w:bookmarkEnd w:id="836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907" w:type="dxa"/>
          </w:tcPr>
          <w:bookmarkStart w:id="837" w:name="P837"/>
          <w:bookmarkEnd w:id="837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907" w:type="dxa"/>
          </w:tcPr>
          <w:bookmarkStart w:id="838" w:name="P838"/>
          <w:bookmarkEnd w:id="838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13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13</w:t>
      </w:r>
    </w:p>
    <w:p>
      <w:pPr>
        <w:pStyle w:val="0"/>
        <w:jc w:val="both"/>
      </w:pPr>
      <w:r>
        <w:rPr>
          <w:sz w:val="24"/>
        </w:rPr>
      </w:r>
    </w:p>
    <w:bookmarkStart w:id="869" w:name="P869"/>
    <w:bookmarkEnd w:id="869"/>
    <w:p>
      <w:pPr>
        <w:pStyle w:val="0"/>
        <w:jc w:val="center"/>
      </w:pPr>
      <w:r>
        <w:rPr>
          <w:sz w:val="24"/>
        </w:rPr>
        <w:t xml:space="preserve">Электростатическая искробезопасность, электроустановки,</w:t>
      </w:r>
    </w:p>
    <w:p>
      <w:pPr>
        <w:pStyle w:val="0"/>
        <w:jc w:val="center"/>
      </w:pPr>
      <w:r>
        <w:rPr>
          <w:sz w:val="24"/>
        </w:rPr>
        <w:t xml:space="preserve">защитное заземление, молниезащита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531"/>
        <w:gridCol w:w="1814"/>
        <w:gridCol w:w="2154"/>
        <w:gridCol w:w="1417"/>
        <w:gridCol w:w="1644"/>
        <w:gridCol w:w="1814"/>
        <w:gridCol w:w="1815"/>
        <w:gridCol w:w="90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здания и помещения, этажей, на которых расположено оборудование, аппараты, емкости, агрегаты, устройства и прочее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соединении с магистральными линиями уравнивания потенциала аппаратов, емкостей, агрегатов и устройств в соответствии с требованиями </w:t>
            </w:r>
            <w:hyperlink w:history="0" r:id="rId39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      <w:r>
                <w:rPr>
                  <w:sz w:val="24"/>
                  <w:color w:val="0000ff"/>
                </w:rPr>
                <w:t xml:space="preserve">пункта 116</w:t>
              </w:r>
            </w:hyperlink>
            <w:r>
              <w:rPr>
                <w:sz w:val="24"/>
              </w:rPr>
              <w:t xml:space="preserve"> Федеральных норм и правил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заземлении труб, составляющих пневмотранспортные материалопроводы, металлических бункеров, днищ железобетонных силосов, циклонов, оборудования бестарных складов хранения муки и механизированных складов бестарного напольного хранения зерна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прошивке матерчатых фильтров медной проволокой и соединении ее с системой заземления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заземлении технологического оборудования и продуктопроводов в соответствии требованиями </w:t>
            </w:r>
            <w:hyperlink w:history="0" r:id="rId40" w:tooltip="Приказ Ростехнадзора от 23.04.2026 N 137 &quot;Об утверждении федеральных норм и правил в области промышленной безопасности &quot;Правила безопасности взрывопожароопасных производственных объектов хранения и переработки растительного сырья&quot; (Зарегистрировано в Минюсте России 02.06.2026 N 86825) ------------ Не вступил в силу {КонсультантПлюс}">
              <w:r>
                <w:rPr>
                  <w:sz w:val="24"/>
                  <w:color w:val="0000ff"/>
                </w:rPr>
                <w:t xml:space="preserve">пункта 122</w:t>
              </w:r>
            </w:hyperlink>
            <w:r>
              <w:rPr>
                <w:sz w:val="24"/>
              </w:rPr>
              <w:t xml:space="preserve"> Федеральных норм и правил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заземлении валов машин, оборудованных подшипниками скольжения с кольцевой смазкой</w:t>
            </w:r>
          </w:p>
        </w:tc>
        <w:tc>
          <w:tcPr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использовании в качестве молниеприемника металлической сетки или металлических конструкций оборудования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</w:tcPr>
          <w:bookmarkStart w:id="882" w:name="P882"/>
          <w:bookmarkEnd w:id="882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14" w:type="dxa"/>
          </w:tcPr>
          <w:bookmarkStart w:id="883" w:name="P883"/>
          <w:bookmarkEnd w:id="883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154" w:type="dxa"/>
          </w:tcPr>
          <w:bookmarkStart w:id="884" w:name="P884"/>
          <w:bookmarkEnd w:id="884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</w:tcPr>
          <w:bookmarkStart w:id="885" w:name="P885"/>
          <w:bookmarkEnd w:id="885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644" w:type="dxa"/>
          </w:tcPr>
          <w:bookmarkStart w:id="886" w:name="P886"/>
          <w:bookmarkEnd w:id="886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814" w:type="dxa"/>
          </w:tcPr>
          <w:bookmarkStart w:id="887" w:name="P887"/>
          <w:bookmarkEnd w:id="887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815" w:type="dxa"/>
          </w:tcPr>
          <w:bookmarkStart w:id="888" w:name="P888"/>
          <w:bookmarkEnd w:id="888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907" w:type="dxa"/>
          </w:tcPr>
          <w:bookmarkStart w:id="889" w:name="P889"/>
          <w:bookmarkEnd w:id="889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37"/>
          <w:headerReference w:type="first" r:id="rId37"/>
          <w:footerReference w:type="default" r:id="rId38"/>
          <w:footerReference w:type="first" r:id="rId38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14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14</w:t>
      </w:r>
    </w:p>
    <w:p>
      <w:pPr>
        <w:pStyle w:val="0"/>
        <w:jc w:val="both"/>
      </w:pPr>
      <w:r>
        <w:rPr>
          <w:sz w:val="24"/>
        </w:rPr>
      </w:r>
    </w:p>
    <w:bookmarkStart w:id="920" w:name="P920"/>
    <w:bookmarkEnd w:id="920"/>
    <w:p>
      <w:pPr>
        <w:pStyle w:val="0"/>
        <w:jc w:val="center"/>
      </w:pPr>
      <w:r>
        <w:rPr>
          <w:sz w:val="24"/>
        </w:rPr>
        <w:t xml:space="preserve">Системы воздушного отопления и вентиляции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701"/>
        <w:gridCol w:w="1531"/>
        <w:gridCol w:w="1077"/>
        <w:gridCol w:w="1644"/>
        <w:gridCol w:w="1644"/>
        <w:gridCol w:w="96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здания и помещения, этажей, на которых расположены системы воздушного отопления и вентиляции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взрывозащищенном исполнении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очистке воздуха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Оснащение огнепреграждающими устройствами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соответствии электрооборудования вентиляционных систем техническим требованиям к безопасности оборудования для работы во взрывоопасных средах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</w:tcPr>
          <w:bookmarkStart w:id="931" w:name="P931"/>
          <w:bookmarkEnd w:id="931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31" w:type="dxa"/>
          </w:tcPr>
          <w:bookmarkStart w:id="932" w:name="P932"/>
          <w:bookmarkEnd w:id="932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077" w:type="dxa"/>
          </w:tcPr>
          <w:bookmarkStart w:id="933" w:name="P933"/>
          <w:bookmarkEnd w:id="933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644" w:type="dxa"/>
          </w:tcPr>
          <w:bookmarkStart w:id="934" w:name="P934"/>
          <w:bookmarkEnd w:id="934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644" w:type="dxa"/>
          </w:tcPr>
          <w:bookmarkStart w:id="935" w:name="P935"/>
          <w:bookmarkEnd w:id="935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964" w:type="dxa"/>
          </w:tcPr>
          <w:bookmarkStart w:id="936" w:name="P936"/>
          <w:bookmarkEnd w:id="936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15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15</w:t>
      </w:r>
    </w:p>
    <w:p>
      <w:pPr>
        <w:pStyle w:val="0"/>
        <w:jc w:val="both"/>
      </w:pPr>
      <w:r>
        <w:rPr>
          <w:sz w:val="24"/>
        </w:rPr>
      </w:r>
    </w:p>
    <w:bookmarkStart w:id="965" w:name="P965"/>
    <w:bookmarkEnd w:id="965"/>
    <w:p>
      <w:pPr>
        <w:pStyle w:val="0"/>
        <w:jc w:val="center"/>
      </w:pPr>
      <w:r>
        <w:rPr>
          <w:sz w:val="24"/>
        </w:rPr>
        <w:t xml:space="preserve">Бункеры деревообрабатывающих производств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906"/>
        <w:gridCol w:w="1361"/>
        <w:gridCol w:w="1134"/>
        <w:gridCol w:w="1077"/>
        <w:gridCol w:w="1077"/>
        <w:gridCol w:w="964"/>
        <w:gridCol w:w="1191"/>
        <w:gridCol w:w="964"/>
      </w:tblGrid>
      <w:tr>
        <w:tc>
          <w:tcPr>
            <w:tcW w:w="39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9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зданий и помещений, где расположены бункеры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противовзрывных устройств (клапанов)</w:t>
            </w:r>
          </w:p>
        </w:tc>
        <w:tc>
          <w:tcPr>
            <w:gridSpan w:val="4"/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Бункеры для сухой стружки и пыли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датчика, сигнализирующего о степени заполнения бункеров для сырой стружки и щепы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датчика, сигнализирующего о степени их заполнения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автоматических датчиков сигнализации о возгорании стружки и пыли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устройств для подвода средств пожаротушения внутрь бункеров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Подсоединение к системе аспирации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6" w:type="dxa"/>
          </w:tcPr>
          <w:bookmarkStart w:id="979" w:name="P979"/>
          <w:bookmarkEnd w:id="979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</w:tcPr>
          <w:bookmarkStart w:id="980" w:name="P980"/>
          <w:bookmarkEnd w:id="980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</w:tcPr>
          <w:bookmarkStart w:id="981" w:name="P981"/>
          <w:bookmarkEnd w:id="981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77" w:type="dxa"/>
          </w:tcPr>
          <w:bookmarkStart w:id="982" w:name="P982"/>
          <w:bookmarkEnd w:id="982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77" w:type="dxa"/>
          </w:tcPr>
          <w:bookmarkStart w:id="983" w:name="P983"/>
          <w:bookmarkEnd w:id="983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964" w:type="dxa"/>
          </w:tcPr>
          <w:bookmarkStart w:id="984" w:name="P984"/>
          <w:bookmarkEnd w:id="984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191" w:type="dxa"/>
          </w:tcPr>
          <w:bookmarkStart w:id="985" w:name="P985"/>
          <w:bookmarkEnd w:id="985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964" w:type="dxa"/>
          </w:tcPr>
          <w:bookmarkStart w:id="986" w:name="P986"/>
          <w:bookmarkEnd w:id="986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3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9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16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16</w:t>
      </w:r>
    </w:p>
    <w:p>
      <w:pPr>
        <w:pStyle w:val="0"/>
        <w:jc w:val="both"/>
      </w:pPr>
      <w:r>
        <w:rPr>
          <w:sz w:val="24"/>
        </w:rPr>
      </w:r>
    </w:p>
    <w:bookmarkStart w:id="1017" w:name="P1017"/>
    <w:bookmarkEnd w:id="1017"/>
    <w:p>
      <w:pPr>
        <w:pStyle w:val="0"/>
        <w:jc w:val="center"/>
      </w:pPr>
      <w:r>
        <w:rPr>
          <w:sz w:val="24"/>
        </w:rPr>
        <w:t xml:space="preserve">Шнековые затворы деревообрабатывающих производств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303"/>
        <w:gridCol w:w="1361"/>
        <w:gridCol w:w="1417"/>
        <w:gridCol w:w="1304"/>
        <w:gridCol w:w="2268"/>
        <w:gridCol w:w="964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3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зданий и помещений, где расположены затворы</w:t>
            </w:r>
          </w:p>
        </w:tc>
        <w:tc>
          <w:tcPr>
            <w:gridSpan w:val="4"/>
            <w:tcW w:w="63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Шнековые затворы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противовзрывных устройств (клапанов)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датчика, сигнализирующего о возгорании сухой стружки в затворе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автоматических устройств для подвода средств пожаротушения внутрь затвора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заслонки, препятствующей попаданию искр и других источников пожара в пневмотранспортную систему, следующую за затвором</w:t>
            </w:r>
          </w:p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3" w:type="dxa"/>
          </w:tcPr>
          <w:bookmarkStart w:id="1028" w:name="P1028"/>
          <w:bookmarkEnd w:id="1028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</w:tcPr>
          <w:bookmarkStart w:id="1029" w:name="P1029"/>
          <w:bookmarkEnd w:id="1029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</w:tcPr>
          <w:bookmarkStart w:id="1030" w:name="P1030"/>
          <w:bookmarkEnd w:id="1030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304" w:type="dxa"/>
          </w:tcPr>
          <w:bookmarkStart w:id="1031" w:name="P1031"/>
          <w:bookmarkEnd w:id="1031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2268" w:type="dxa"/>
          </w:tcPr>
          <w:bookmarkStart w:id="1032" w:name="P1032"/>
          <w:bookmarkEnd w:id="1032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964" w:type="dxa"/>
          </w:tcPr>
          <w:bookmarkStart w:id="1033" w:name="P1033"/>
          <w:bookmarkEnd w:id="1033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17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17</w:t>
      </w:r>
    </w:p>
    <w:p>
      <w:pPr>
        <w:pStyle w:val="0"/>
        <w:jc w:val="both"/>
      </w:pPr>
      <w:r>
        <w:rPr>
          <w:sz w:val="24"/>
        </w:rPr>
      </w:r>
    </w:p>
    <w:bookmarkStart w:id="1062" w:name="P1062"/>
    <w:bookmarkEnd w:id="1062"/>
    <w:p>
      <w:pPr>
        <w:pStyle w:val="0"/>
        <w:jc w:val="center"/>
      </w:pPr>
      <w:r>
        <w:rPr>
          <w:sz w:val="24"/>
        </w:rPr>
        <w:t xml:space="preserve">Результаты натурных замеров легкосбрасываемых конструкций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095"/>
        <w:gridCol w:w="1095"/>
        <w:gridCol w:w="1095"/>
        <w:gridCol w:w="1095"/>
        <w:gridCol w:w="1095"/>
        <w:gridCol w:w="1095"/>
        <w:gridCol w:w="1134"/>
        <w:gridCol w:w="1056"/>
        <w:gridCol w:w="1095"/>
        <w:gridCol w:w="1095"/>
        <w:gridCol w:w="1095"/>
        <w:gridCol w:w="1106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Наименования здании, помещений, этажей</w:t>
            </w:r>
          </w:p>
        </w:tc>
        <w:tc>
          <w:tcPr>
            <w:tcW w:w="10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Геометрические размеры этажа, м</w:t>
            </w:r>
          </w:p>
        </w:tc>
        <w:tc>
          <w:tcPr>
            <w:tcW w:w="10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Геометрический объем помещения, м</w:t>
            </w:r>
            <w:r>
              <w:rPr>
                <w:sz w:val="24"/>
                <w:vertAlign w:val="superscript"/>
              </w:rPr>
              <w:t xml:space="preserve">3</w:t>
            </w:r>
          </w:p>
        </w:tc>
        <w:tc>
          <w:tcPr>
            <w:gridSpan w:val="2"/>
            <w:tcW w:w="21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Объемы, м</w:t>
            </w:r>
            <w:r>
              <w:rPr>
                <w:sz w:val="24"/>
                <w:vertAlign w:val="superscript"/>
              </w:rPr>
              <w:t xml:space="preserve">3</w:t>
            </w:r>
          </w:p>
        </w:tc>
        <w:tc>
          <w:tcPr>
            <w:tcW w:w="10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Свободный объем помещения, м</w:t>
            </w:r>
            <w:r>
              <w:rPr>
                <w:sz w:val="24"/>
                <w:vertAlign w:val="superscript"/>
              </w:rPr>
              <w:t xml:space="preserve">3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Площадь единичного оконного стекла, м</w:t>
            </w:r>
            <w:r>
              <w:rPr>
                <w:sz w:val="24"/>
                <w:vertAlign w:val="superscript"/>
              </w:rPr>
              <w:t xml:space="preserve">2</w:t>
            </w:r>
          </w:p>
        </w:tc>
        <w:tc>
          <w:tcPr>
            <w:tcW w:w="10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Толщина единичного оконного стекла, мм</w:t>
            </w:r>
          </w:p>
        </w:tc>
        <w:tc>
          <w:tcPr>
            <w:tcW w:w="10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ячеек остекления</w:t>
            </w:r>
          </w:p>
        </w:tc>
        <w:tc>
          <w:tcPr>
            <w:tcW w:w="10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Фактическая площадь ЛСК F</w:t>
            </w:r>
            <w:r>
              <w:rPr>
                <w:sz w:val="24"/>
                <w:vertAlign w:val="subscript"/>
              </w:rPr>
              <w:t xml:space="preserve">ф</w:t>
            </w:r>
            <w:r>
              <w:rPr>
                <w:sz w:val="24"/>
              </w:rPr>
              <w:t xml:space="preserve">, м</w:t>
            </w:r>
            <w:r>
              <w:rPr>
                <w:sz w:val="24"/>
                <w:vertAlign w:val="superscript"/>
              </w:rPr>
              <w:t xml:space="preserve">2</w:t>
            </w:r>
          </w:p>
        </w:tc>
        <w:tc>
          <w:tcPr>
            <w:tcW w:w="109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Коэффициент сброса, K</w:t>
            </w:r>
            <w:r>
              <w:rPr>
                <w:sz w:val="24"/>
                <w:vertAlign w:val="subscript"/>
              </w:rPr>
              <w:t xml:space="preserve">сбр</w:t>
            </w:r>
          </w:p>
        </w:tc>
        <w:tc>
          <w:tcPr>
            <w:tcW w:w="11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Минимально допустимая площадь ЛСК, м</w:t>
            </w:r>
            <w:r>
              <w:rPr>
                <w:sz w:val="24"/>
                <w:vertAlign w:val="superscript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выступающих строительных конструкций</w:t>
            </w:r>
          </w:p>
        </w:tc>
        <w:tc>
          <w:tcPr>
            <w:tcW w:w="10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производственного оборудования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95" w:type="dxa"/>
          </w:tcPr>
          <w:bookmarkStart w:id="1079" w:name="P1079"/>
          <w:bookmarkEnd w:id="1079"/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095" w:type="dxa"/>
          </w:tcPr>
          <w:bookmarkStart w:id="1080" w:name="P1080"/>
          <w:bookmarkEnd w:id="1080"/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095" w:type="dxa"/>
          </w:tcPr>
          <w:bookmarkStart w:id="1081" w:name="P1081"/>
          <w:bookmarkEnd w:id="1081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095" w:type="dxa"/>
          </w:tcPr>
          <w:bookmarkStart w:id="1082" w:name="P1082"/>
          <w:bookmarkEnd w:id="1082"/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95" w:type="dxa"/>
          </w:tcPr>
          <w:bookmarkStart w:id="1083" w:name="P1083"/>
          <w:bookmarkEnd w:id="1083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95" w:type="dxa"/>
          </w:tcPr>
          <w:bookmarkStart w:id="1084" w:name="P1084"/>
          <w:bookmarkEnd w:id="1084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134" w:type="dxa"/>
          </w:tcPr>
          <w:bookmarkStart w:id="1085" w:name="P1085"/>
          <w:bookmarkEnd w:id="1085"/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056" w:type="dxa"/>
          </w:tcPr>
          <w:bookmarkStart w:id="1086" w:name="P1086"/>
          <w:bookmarkEnd w:id="1086"/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095" w:type="dxa"/>
          </w:tcPr>
          <w:bookmarkStart w:id="1087" w:name="P1087"/>
          <w:bookmarkEnd w:id="1087"/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095" w:type="dxa"/>
          </w:tcPr>
          <w:bookmarkStart w:id="1088" w:name="P1088"/>
          <w:bookmarkEnd w:id="1088"/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095" w:type="dxa"/>
          </w:tcPr>
          <w:bookmarkStart w:id="1089" w:name="P1089"/>
          <w:bookmarkEnd w:id="1089"/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106" w:type="dxa"/>
          </w:tcPr>
          <w:bookmarkStart w:id="1090" w:name="P1090"/>
          <w:bookmarkEnd w:id="1090"/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37"/>
          <w:headerReference w:type="first" r:id="rId37"/>
          <w:footerReference w:type="default" r:id="rId38"/>
          <w:footerReference w:type="first" r:id="rId38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18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18</w:t>
      </w:r>
    </w:p>
    <w:p>
      <w:pPr>
        <w:pStyle w:val="0"/>
        <w:jc w:val="both"/>
      </w:pPr>
      <w:r>
        <w:rPr>
          <w:sz w:val="24"/>
        </w:rPr>
      </w:r>
    </w:p>
    <w:bookmarkStart w:id="1125" w:name="P1125"/>
    <w:bookmarkEnd w:id="1125"/>
    <w:p>
      <w:pPr>
        <w:pStyle w:val="0"/>
        <w:jc w:val="center"/>
      </w:pPr>
      <w:r>
        <w:rPr>
          <w:sz w:val="24"/>
        </w:rPr>
        <w:t xml:space="preserve">Перечень</w:t>
      </w:r>
    </w:p>
    <w:p>
      <w:pPr>
        <w:pStyle w:val="0"/>
        <w:jc w:val="center"/>
      </w:pPr>
      <w:r>
        <w:rPr>
          <w:sz w:val="24"/>
        </w:rPr>
        <w:t xml:space="preserve">материалов обследований, результаты которых использованы</w:t>
      </w:r>
    </w:p>
    <w:p>
      <w:pPr>
        <w:pStyle w:val="0"/>
        <w:jc w:val="center"/>
      </w:pPr>
      <w:r>
        <w:rPr>
          <w:sz w:val="24"/>
        </w:rPr>
        <w:t xml:space="preserve">для отражения показателей, характеризующих оснащенность</w:t>
      </w:r>
    </w:p>
    <w:p>
      <w:pPr>
        <w:pStyle w:val="0"/>
        <w:jc w:val="center"/>
      </w:pPr>
      <w:r>
        <w:rPr>
          <w:sz w:val="24"/>
        </w:rPr>
        <w:t xml:space="preserve">производственных зданий и сооружений, а также транспортных</w:t>
      </w:r>
    </w:p>
    <w:p>
      <w:pPr>
        <w:pStyle w:val="0"/>
        <w:jc w:val="center"/>
      </w:pPr>
      <w:r>
        <w:rPr>
          <w:sz w:val="24"/>
        </w:rPr>
        <w:t xml:space="preserve">галерей и тоннелей средствами, обеспечивающими</w:t>
      </w:r>
    </w:p>
    <w:p>
      <w:pPr>
        <w:pStyle w:val="0"/>
        <w:jc w:val="center"/>
      </w:pPr>
      <w:r>
        <w:rPr>
          <w:sz w:val="24"/>
        </w:rPr>
        <w:t xml:space="preserve">противоаварийную защиту объекта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5782"/>
        <w:gridCol w:w="964"/>
        <w:gridCol w:w="1871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5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материалов обследований, содержащих соответствующие подтверждающие расчеты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листов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Примечание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57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19</w:t>
      </w:r>
    </w:p>
    <w:p>
      <w:pPr>
        <w:pStyle w:val="0"/>
        <w:jc w:val="right"/>
      </w:pPr>
      <w:r>
        <w:rPr>
          <w:sz w:val="24"/>
        </w:rPr>
        <w:t xml:space="preserve">к руководству по безопасности</w:t>
      </w:r>
    </w:p>
    <w:p>
      <w:pPr>
        <w:pStyle w:val="0"/>
        <w:jc w:val="right"/>
      </w:pPr>
      <w:r>
        <w:rPr>
          <w:sz w:val="24"/>
        </w:rPr>
        <w:t xml:space="preserve">"Рекомендации по оформлению</w:t>
      </w:r>
    </w:p>
    <w:p>
      <w:pPr>
        <w:pStyle w:val="0"/>
        <w:jc w:val="right"/>
      </w:pPr>
      <w:r>
        <w:rPr>
          <w:sz w:val="24"/>
        </w:rPr>
        <w:t xml:space="preserve">технического паспорта</w:t>
      </w:r>
    </w:p>
    <w:p>
      <w:pPr>
        <w:pStyle w:val="0"/>
        <w:jc w:val="right"/>
      </w:pPr>
      <w:r>
        <w:rPr>
          <w:sz w:val="24"/>
        </w:rPr>
        <w:t xml:space="preserve">взрывобезопасности взрывопожароопасных</w:t>
      </w:r>
    </w:p>
    <w:p>
      <w:pPr>
        <w:pStyle w:val="0"/>
        <w:jc w:val="right"/>
      </w:pPr>
      <w:r>
        <w:rPr>
          <w:sz w:val="24"/>
        </w:rPr>
        <w:t xml:space="preserve">производственных объектов хранения</w:t>
      </w:r>
    </w:p>
    <w:p>
      <w:pPr>
        <w:pStyle w:val="0"/>
        <w:jc w:val="right"/>
      </w:pPr>
      <w:r>
        <w:rPr>
          <w:sz w:val="24"/>
        </w:rPr>
        <w:t xml:space="preserve">и переработки растительного сырья",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июля 2026 г. N 247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19</w:t>
      </w:r>
    </w:p>
    <w:p>
      <w:pPr>
        <w:pStyle w:val="0"/>
        <w:jc w:val="both"/>
      </w:pPr>
      <w:r>
        <w:rPr>
          <w:sz w:val="24"/>
        </w:rPr>
      </w:r>
    </w:p>
    <w:bookmarkStart w:id="1166" w:name="P1166"/>
    <w:bookmarkEnd w:id="1166"/>
    <w:p>
      <w:pPr>
        <w:pStyle w:val="0"/>
        <w:jc w:val="center"/>
      </w:pPr>
      <w:r>
        <w:rPr>
          <w:sz w:val="24"/>
        </w:rPr>
        <w:t xml:space="preserve">Лист регистрации дополнений (изменений) технического</w:t>
      </w:r>
    </w:p>
    <w:p>
      <w:pPr>
        <w:pStyle w:val="0"/>
        <w:jc w:val="center"/>
      </w:pPr>
      <w:r>
        <w:rPr>
          <w:sz w:val="24"/>
        </w:rPr>
        <w:t xml:space="preserve">паспорта взрывобезопасности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2438"/>
        <w:gridCol w:w="737"/>
        <w:gridCol w:w="737"/>
        <w:gridCol w:w="737"/>
        <w:gridCol w:w="737"/>
        <w:gridCol w:w="1191"/>
        <w:gridCol w:w="1531"/>
        <w:gridCol w:w="510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Причины изменений</w:t>
            </w:r>
          </w:p>
        </w:tc>
        <w:tc>
          <w:tcPr>
            <w:gridSpan w:val="4"/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листов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 листов в Техническом паспорте взрывобезопасности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главного инженера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(должностного лица, в обязанности которого входит выполнение указанной функции)</w:t>
            </w:r>
          </w:p>
        </w:tc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измененных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замененных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новых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изъятых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16.07.2026 N 247</w:t>
            <w:br/>
            <w:t>"Об утверждении руководства по безопасности "Рекомендации по оформлению техниче...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16.07.2026 N 247</w:t>
            <w:br/>
            <w:t>"Об утверждении руководства по безопасности "Рекомендации по оформлению техниче...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0206&amp;date=07.08.2026&amp;dst=291&amp;field=134" TargetMode = "External"/><Relationship Id="rId9" Type="http://schemas.openxmlformats.org/officeDocument/2006/relationships/hyperlink" Target="https://login.consultant.ru/link/?req=doc&amp;base=LAW&amp;n=532110&amp;date=07.08.2026&amp;dst=100266&amp;field=134" TargetMode = "External"/><Relationship Id="rId10" Type="http://schemas.openxmlformats.org/officeDocument/2006/relationships/hyperlink" Target="https://login.consultant.ru/link/?req=doc&amp;base=LAW&amp;n=387396&amp;date=07.08.2026" TargetMode = "External"/><Relationship Id="rId11" Type="http://schemas.openxmlformats.org/officeDocument/2006/relationships/hyperlink" Target="https://login.consultant.ru/link/?req=doc&amp;base=LAW&amp;n=500206&amp;date=07.08.2026&amp;dst=291&amp;field=134" TargetMode = "External"/><Relationship Id="rId12" Type="http://schemas.openxmlformats.org/officeDocument/2006/relationships/hyperlink" Target="https://login.consultant.ru/link/?req=doc&amp;base=LAW&amp;n=536055&amp;date=07.08.2026&amp;dst=100011&amp;field=134" TargetMode = "External"/><Relationship Id="rId13" Type="http://schemas.openxmlformats.org/officeDocument/2006/relationships/hyperlink" Target="https://login.consultant.ru/link/?req=doc&amp;base=LAW&amp;n=536055&amp;date=07.08.2026&amp;dst=101091&amp;field=134" TargetMode = "External"/><Relationship Id="rId14" Type="http://schemas.openxmlformats.org/officeDocument/2006/relationships/hyperlink" Target="https://login.consultant.ru/link/?req=doc&amp;base=LAW&amp;n=536055&amp;date=07.08.2026&amp;dst=100092&amp;field=134" TargetMode = "External"/><Relationship Id="rId15" Type="http://schemas.openxmlformats.org/officeDocument/2006/relationships/hyperlink" Target="https://login.consultant.ru/link/?req=doc&amp;base=LAW&amp;n=536055&amp;date=07.08.2026&amp;dst=101106&amp;field=134" TargetMode = "External"/><Relationship Id="rId16" Type="http://schemas.openxmlformats.org/officeDocument/2006/relationships/image" Target="media/image2.wmf"/><Relationship Id="rId17" Type="http://schemas.openxmlformats.org/officeDocument/2006/relationships/hyperlink" Target="https://login.consultant.ru/link/?req=doc&amp;base=LAW&amp;n=511695&amp;date=07.08.2026&amp;dst=101965&amp;field=134" TargetMode = "External"/><Relationship Id="rId18" Type="http://schemas.openxmlformats.org/officeDocument/2006/relationships/image" Target="media/image3.wmf"/><Relationship Id="rId19" Type="http://schemas.openxmlformats.org/officeDocument/2006/relationships/hyperlink" Target="https://login.consultant.ru/link/?req=doc&amp;base=STR&amp;n=30209&amp;date=07.08.2026" TargetMode = "External"/><Relationship Id="rId20" Type="http://schemas.openxmlformats.org/officeDocument/2006/relationships/hyperlink" Target="https://login.consultant.ru/link/?req=doc&amp;base=STR&amp;n=16801&amp;date=07.08.2026" TargetMode = "External"/><Relationship Id="rId21" Type="http://schemas.openxmlformats.org/officeDocument/2006/relationships/hyperlink" Target="https://login.consultant.ru/link/?req=doc&amp;base=LAW&amp;n=536055&amp;date=07.08.2026&amp;dst=101063&amp;field=134" TargetMode = "External"/><Relationship Id="rId22" Type="http://schemas.openxmlformats.org/officeDocument/2006/relationships/hyperlink" Target="https://login.consultant.ru/link/?req=doc&amp;base=LAW&amp;n=536055&amp;date=07.08.2026&amp;dst=101064&amp;field=134" TargetMode = "External"/><Relationship Id="rId23" Type="http://schemas.openxmlformats.org/officeDocument/2006/relationships/hyperlink" Target="https://login.consultant.ru/link/?req=doc&amp;base=LAW&amp;n=536055&amp;date=07.08.2026&amp;dst=101067&amp;field=134" TargetMode = "External"/><Relationship Id="rId24" Type="http://schemas.openxmlformats.org/officeDocument/2006/relationships/hyperlink" Target="https://login.consultant.ru/link/?req=doc&amp;base=LAW&amp;n=536055&amp;date=07.08.2026&amp;dst=101069&amp;field=134" TargetMode = "External"/><Relationship Id="rId25" Type="http://schemas.openxmlformats.org/officeDocument/2006/relationships/hyperlink" Target="https://login.consultant.ru/link/?req=doc&amp;base=LAW&amp;n=536055&amp;date=07.08.2026&amp;dst=100011&amp;field=134" TargetMode = "External"/><Relationship Id="rId26" Type="http://schemas.openxmlformats.org/officeDocument/2006/relationships/hyperlink" Target="https://login.consultant.ru/link/?req=doc&amp;base=LAW&amp;n=508806&amp;date=07.08.2026" TargetMode = "External"/><Relationship Id="rId27" Type="http://schemas.openxmlformats.org/officeDocument/2006/relationships/hyperlink" Target="https://login.consultant.ru/link/?req=doc&amp;base=LAW&amp;n=536055&amp;date=07.08.2026&amp;dst=101072&amp;field=134" TargetMode = "External"/><Relationship Id="rId28" Type="http://schemas.openxmlformats.org/officeDocument/2006/relationships/hyperlink" Target="https://login.consultant.ru/link/?req=doc&amp;base=LAW&amp;n=536055&amp;date=07.08.2026&amp;dst=101078&amp;field=134" TargetMode = "External"/><Relationship Id="rId29" Type="http://schemas.openxmlformats.org/officeDocument/2006/relationships/hyperlink" Target="https://login.consultant.ru/link/?req=doc&amp;base=LAW&amp;n=536055&amp;date=07.08.2026&amp;dst=100098&amp;field=134" TargetMode = "External"/><Relationship Id="rId30" Type="http://schemas.openxmlformats.org/officeDocument/2006/relationships/hyperlink" Target="https://login.consultant.ru/link/?req=doc&amp;base=LAW&amp;n=536055&amp;date=07.08.2026&amp;dst=100231&amp;field=134" TargetMode = "External"/><Relationship Id="rId31" Type="http://schemas.openxmlformats.org/officeDocument/2006/relationships/hyperlink" Target="https://login.consultant.ru/link/?req=doc&amp;base=LAW&amp;n=536055&amp;date=07.08.2026&amp;dst=100237&amp;field=134" TargetMode = "External"/><Relationship Id="rId32" Type="http://schemas.openxmlformats.org/officeDocument/2006/relationships/hyperlink" Target="https://login.consultant.ru/link/?req=doc&amp;base=LAW&amp;n=536055&amp;date=07.08.2026&amp;dst=100011&amp;field=134" TargetMode = "External"/><Relationship Id="rId33" Type="http://schemas.openxmlformats.org/officeDocument/2006/relationships/hyperlink" Target="https://login.consultant.ru/link/?req=doc&amp;base=LAW&amp;n=536055&amp;date=07.08.2026&amp;dst=101108&amp;field=134" TargetMode = "External"/><Relationship Id="rId34" Type="http://schemas.openxmlformats.org/officeDocument/2006/relationships/hyperlink" Target="https://login.consultant.ru/link/?req=doc&amp;base=LAW&amp;n=536055&amp;date=07.08.2026&amp;dst=101108&amp;field=134" TargetMode = "External"/><Relationship Id="rId35" Type="http://schemas.openxmlformats.org/officeDocument/2006/relationships/hyperlink" Target="https://login.consultant.ru/link/?req=doc&amp;base=LAW&amp;n=536055&amp;date=07.08.2026&amp;dst=101112&amp;field=134" TargetMode = "External"/><Relationship Id="rId36" Type="http://schemas.openxmlformats.org/officeDocument/2006/relationships/image" Target="media/image4.wmf"/><Relationship Id="rId37" Type="http://schemas.openxmlformats.org/officeDocument/2006/relationships/header" Target="header2.xml"/><Relationship Id="rId38" Type="http://schemas.openxmlformats.org/officeDocument/2006/relationships/footer" Target="footer2.xml"/><Relationship Id="rId39" Type="http://schemas.openxmlformats.org/officeDocument/2006/relationships/hyperlink" Target="https://login.consultant.ru/link/?req=doc&amp;base=LAW&amp;n=536055&amp;date=07.08.2026&amp;dst=100231&amp;field=134" TargetMode = "External"/><Relationship Id="rId40" Type="http://schemas.openxmlformats.org/officeDocument/2006/relationships/hyperlink" Target="https://login.consultant.ru/link/?req=doc&amp;base=LAW&amp;n=536055&amp;date=07.08.2026&amp;dst=10023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16.07.2026 N 247
"Об утверждении руководства по безопасности "Рекомендации по оформлению технического паспорта взрывобезопасности взрывопожароопасных производственных объектов хранения и переработки растительного сырья"</dc:title>
  <dcterms:created xsi:type="dcterms:W3CDTF">2026-08-07T11:52:17Z</dcterms:created>
</cp:coreProperties>
</file>